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3DDB" w14:textId="597623F1" w:rsidR="00D701E1" w:rsidRPr="00BA5AA9" w:rsidRDefault="00D701E1" w:rsidP="00940CF4">
      <w:pPr>
        <w:jc w:val="right"/>
        <w:rPr>
          <w:sz w:val="24"/>
          <w:szCs w:val="24"/>
          <w:highlight w:val="yellow"/>
        </w:rPr>
      </w:pPr>
    </w:p>
    <w:p w14:paraId="7F3E25D7" w14:textId="3D9EFBDC" w:rsidR="007E5949" w:rsidRDefault="007E5949" w:rsidP="00E60CB1">
      <w:pPr>
        <w:spacing w:before="120" w:after="120"/>
        <w:jc w:val="both"/>
        <w:rPr>
          <w:i/>
          <w:iCs/>
          <w:sz w:val="24"/>
          <w:szCs w:val="24"/>
        </w:rPr>
      </w:pPr>
      <w:r w:rsidRPr="00E60CB1">
        <w:rPr>
          <w:i/>
          <w:iCs/>
          <w:sz w:val="24"/>
          <w:szCs w:val="24"/>
        </w:rPr>
        <w:t>This Term Sheet for Build Own Transfer Solar Resource (the “Term Sheet”) is being provided in conjunction with Minnesota Power’s</w:t>
      </w:r>
      <w:r w:rsidR="00C97804">
        <w:rPr>
          <w:i/>
          <w:iCs/>
          <w:sz w:val="24"/>
          <w:szCs w:val="24"/>
        </w:rPr>
        <w:t xml:space="preserve"> Request for Proposals For Distributed Solar Resources</w:t>
      </w:r>
      <w:r w:rsidR="00A4352C">
        <w:rPr>
          <w:i/>
          <w:iCs/>
          <w:sz w:val="24"/>
          <w:szCs w:val="24"/>
        </w:rPr>
        <w:t xml:space="preserve"> </w:t>
      </w:r>
      <w:r w:rsidR="003E0BB4">
        <w:rPr>
          <w:i/>
          <w:iCs/>
          <w:sz w:val="24"/>
          <w:szCs w:val="24"/>
        </w:rPr>
        <w:t>issued</w:t>
      </w:r>
      <w:r w:rsidR="00D82587">
        <w:rPr>
          <w:i/>
          <w:iCs/>
          <w:sz w:val="24"/>
          <w:szCs w:val="24"/>
        </w:rPr>
        <w:t xml:space="preserve"> January 30, 2025 </w:t>
      </w:r>
      <w:r w:rsidR="00B8549B">
        <w:rPr>
          <w:i/>
          <w:iCs/>
          <w:sz w:val="24"/>
          <w:szCs w:val="24"/>
        </w:rPr>
        <w:t>, (the “RFP”)</w:t>
      </w:r>
      <w:r w:rsidR="00166E80">
        <w:rPr>
          <w:i/>
          <w:iCs/>
          <w:sz w:val="24"/>
          <w:szCs w:val="24"/>
        </w:rPr>
        <w:t xml:space="preserve"> and indicates some, but not all, of the key terms</w:t>
      </w:r>
      <w:r w:rsidR="00537CFB">
        <w:rPr>
          <w:i/>
          <w:iCs/>
          <w:sz w:val="24"/>
          <w:szCs w:val="24"/>
        </w:rPr>
        <w:t xml:space="preserve"> that would be included in binding documentation for </w:t>
      </w:r>
      <w:r w:rsidR="007D7CC3">
        <w:rPr>
          <w:i/>
          <w:iCs/>
          <w:sz w:val="24"/>
          <w:szCs w:val="24"/>
        </w:rPr>
        <w:t>a build own transfer</w:t>
      </w:r>
      <w:r w:rsidR="00537CFB">
        <w:rPr>
          <w:i/>
          <w:iCs/>
          <w:sz w:val="24"/>
          <w:szCs w:val="24"/>
        </w:rPr>
        <w:t xml:space="preserve"> transaction</w:t>
      </w:r>
      <w:r w:rsidR="007D7CC3">
        <w:rPr>
          <w:i/>
          <w:iCs/>
          <w:sz w:val="24"/>
          <w:szCs w:val="24"/>
        </w:rPr>
        <w:t xml:space="preserve"> as </w:t>
      </w:r>
      <w:r w:rsidR="00B8549B">
        <w:rPr>
          <w:i/>
          <w:iCs/>
          <w:sz w:val="24"/>
          <w:szCs w:val="24"/>
        </w:rPr>
        <w:t>described</w:t>
      </w:r>
      <w:r w:rsidR="007D7CC3">
        <w:rPr>
          <w:i/>
          <w:iCs/>
          <w:sz w:val="24"/>
          <w:szCs w:val="24"/>
        </w:rPr>
        <w:t xml:space="preserve"> in the </w:t>
      </w:r>
      <w:r w:rsidR="00B8549B">
        <w:rPr>
          <w:i/>
          <w:iCs/>
          <w:sz w:val="24"/>
          <w:szCs w:val="24"/>
        </w:rPr>
        <w:t>RFP</w:t>
      </w:r>
      <w:r w:rsidR="00537CFB">
        <w:rPr>
          <w:i/>
          <w:iCs/>
          <w:sz w:val="24"/>
          <w:szCs w:val="24"/>
        </w:rPr>
        <w:t xml:space="preserve"> (the “Definitive Agreements”).</w:t>
      </w:r>
      <w:r w:rsidR="00166E80">
        <w:rPr>
          <w:i/>
          <w:iCs/>
          <w:sz w:val="24"/>
          <w:szCs w:val="24"/>
        </w:rPr>
        <w:t xml:space="preserve"> </w:t>
      </w:r>
      <w:r w:rsidR="00DB690A">
        <w:rPr>
          <w:i/>
          <w:iCs/>
          <w:sz w:val="24"/>
          <w:szCs w:val="24"/>
        </w:rPr>
        <w:t>Seller</w:t>
      </w:r>
      <w:r w:rsidRPr="00E60CB1">
        <w:rPr>
          <w:i/>
          <w:iCs/>
          <w:sz w:val="24"/>
          <w:szCs w:val="24"/>
        </w:rPr>
        <w:t xml:space="preserve"> should complete</w:t>
      </w:r>
      <w:r w:rsidR="000C7F10">
        <w:rPr>
          <w:i/>
          <w:iCs/>
          <w:sz w:val="24"/>
          <w:szCs w:val="24"/>
        </w:rPr>
        <w:t xml:space="preserve"> </w:t>
      </w:r>
      <w:r w:rsidR="000C7F10" w:rsidRPr="00E60CB1">
        <w:rPr>
          <w:i/>
          <w:iCs/>
          <w:sz w:val="24"/>
          <w:szCs w:val="24"/>
          <w:highlight w:val="yellow"/>
        </w:rPr>
        <w:t>highlighted</w:t>
      </w:r>
      <w:r w:rsidRPr="00E60CB1">
        <w:rPr>
          <w:i/>
          <w:iCs/>
          <w:sz w:val="24"/>
          <w:szCs w:val="24"/>
        </w:rPr>
        <w:t xml:space="preserve"> fill-ins.</w:t>
      </w:r>
      <w:r w:rsidR="00335478">
        <w:rPr>
          <w:i/>
          <w:iCs/>
          <w:sz w:val="24"/>
          <w:szCs w:val="24"/>
        </w:rPr>
        <w:t xml:space="preserve"> If Seller makes</w:t>
      </w:r>
      <w:r w:rsidR="00300026">
        <w:rPr>
          <w:i/>
          <w:iCs/>
          <w:sz w:val="24"/>
          <w:szCs w:val="24"/>
        </w:rPr>
        <w:t xml:space="preserve"> other</w:t>
      </w:r>
      <w:r w:rsidR="00335478">
        <w:rPr>
          <w:i/>
          <w:iCs/>
          <w:sz w:val="24"/>
          <w:szCs w:val="24"/>
        </w:rPr>
        <w:t xml:space="preserve"> material changes to the Term Sheet, Buyer will consider them </w:t>
      </w:r>
      <w:proofErr w:type="gramStart"/>
      <w:r w:rsidR="00335478">
        <w:rPr>
          <w:i/>
          <w:iCs/>
          <w:sz w:val="24"/>
          <w:szCs w:val="24"/>
        </w:rPr>
        <w:t>in light of</w:t>
      </w:r>
      <w:proofErr w:type="gramEnd"/>
      <w:r w:rsidR="00335478">
        <w:rPr>
          <w:i/>
          <w:iCs/>
          <w:sz w:val="24"/>
          <w:szCs w:val="24"/>
        </w:rPr>
        <w:t xml:space="preserve"> the document provided and other RFP responses.</w:t>
      </w:r>
      <w:r w:rsidR="00676B30">
        <w:rPr>
          <w:i/>
          <w:iCs/>
          <w:sz w:val="24"/>
          <w:szCs w:val="24"/>
        </w:rPr>
        <w:t xml:space="preserve"> </w:t>
      </w:r>
      <w:r w:rsidR="00E92551">
        <w:rPr>
          <w:i/>
          <w:iCs/>
          <w:sz w:val="24"/>
          <w:szCs w:val="24"/>
        </w:rPr>
        <w:t>No terms shall be binding</w:t>
      </w:r>
      <w:r w:rsidR="0039219B">
        <w:rPr>
          <w:i/>
          <w:iCs/>
          <w:sz w:val="24"/>
          <w:szCs w:val="24"/>
        </w:rPr>
        <w:t xml:space="preserve"> upon either party</w:t>
      </w:r>
      <w:r w:rsidR="00E92551">
        <w:rPr>
          <w:i/>
          <w:iCs/>
          <w:sz w:val="24"/>
          <w:szCs w:val="24"/>
        </w:rPr>
        <w:t xml:space="preserve"> </w:t>
      </w:r>
      <w:r w:rsidR="00DB3659">
        <w:rPr>
          <w:i/>
          <w:iCs/>
          <w:sz w:val="24"/>
          <w:szCs w:val="24"/>
        </w:rPr>
        <w:t>until entry into the Definitive Agreements.</w:t>
      </w:r>
      <w:r w:rsidR="00F34F6B">
        <w:rPr>
          <w:rStyle w:val="FootnoteReference"/>
          <w:i/>
          <w:iCs/>
          <w:sz w:val="24"/>
          <w:szCs w:val="24"/>
        </w:rPr>
        <w:footnoteReference w:id="2"/>
      </w:r>
    </w:p>
    <w:p w14:paraId="6367D98A" w14:textId="77777777" w:rsidR="00E60CB1" w:rsidRPr="00786962" w:rsidRDefault="00E60CB1" w:rsidP="00786962">
      <w:pPr>
        <w:spacing w:before="120" w:after="120"/>
        <w:jc w:val="both"/>
        <w:rPr>
          <w:i/>
          <w:iCs/>
          <w:sz w:val="24"/>
          <w:szCs w:val="24"/>
        </w:rPr>
      </w:pPr>
    </w:p>
    <w:p w14:paraId="7654A42B" w14:textId="0A872FB7" w:rsidR="00F25E4C" w:rsidRPr="00BA5AA9" w:rsidRDefault="001F3055" w:rsidP="00BA5AA9">
      <w:pPr>
        <w:spacing w:before="120" w:after="120"/>
        <w:rPr>
          <w:b/>
          <w:bCs/>
          <w:sz w:val="24"/>
          <w:szCs w:val="24"/>
          <w:highlight w:val="yellow"/>
        </w:rPr>
      </w:pPr>
      <w:r w:rsidRPr="00BA5AA9">
        <w:rPr>
          <w:b/>
          <w:bCs/>
          <w:sz w:val="24"/>
          <w:szCs w:val="24"/>
        </w:rPr>
        <w:t>BUYER</w:t>
      </w:r>
    </w:p>
    <w:p w14:paraId="7654A42E" w14:textId="60939A81" w:rsidR="00F25E4C" w:rsidRPr="00BA5AA9" w:rsidRDefault="00F86311" w:rsidP="00BA5AA9">
      <w:pPr>
        <w:spacing w:before="120" w:after="120"/>
        <w:rPr>
          <w:sz w:val="24"/>
          <w:szCs w:val="24"/>
        </w:rPr>
      </w:pPr>
      <w:r w:rsidRPr="00BA5AA9">
        <w:rPr>
          <w:sz w:val="24"/>
          <w:szCs w:val="24"/>
        </w:rPr>
        <w:t>ALLETE, Inc.</w:t>
      </w:r>
      <w:r w:rsidR="00413983">
        <w:rPr>
          <w:sz w:val="24"/>
          <w:szCs w:val="24"/>
        </w:rPr>
        <w:t xml:space="preserve"> d/b/a Minnesota Power</w:t>
      </w:r>
      <w:r w:rsidRPr="00BA5AA9">
        <w:rPr>
          <w:sz w:val="24"/>
          <w:szCs w:val="24"/>
        </w:rPr>
        <w:t xml:space="preserve"> (“Buyer”).</w:t>
      </w:r>
    </w:p>
    <w:p w14:paraId="7654A430" w14:textId="7BC1E6DE" w:rsidR="00F25E4C" w:rsidRPr="00BA5AA9" w:rsidRDefault="00B31872" w:rsidP="00BA5AA9">
      <w:pPr>
        <w:spacing w:before="120" w:after="120"/>
        <w:rPr>
          <w:b/>
          <w:bCs/>
          <w:sz w:val="24"/>
          <w:szCs w:val="24"/>
        </w:rPr>
      </w:pPr>
      <w:r w:rsidRPr="00BA5AA9">
        <w:rPr>
          <w:b/>
          <w:bCs/>
          <w:sz w:val="24"/>
          <w:szCs w:val="24"/>
        </w:rPr>
        <w:t>SELLER</w:t>
      </w:r>
    </w:p>
    <w:p w14:paraId="6F3DD11C" w14:textId="703E485D" w:rsidR="00B3243E" w:rsidRDefault="00AB2447">
      <w:pPr>
        <w:spacing w:before="120" w:after="120"/>
        <w:jc w:val="both"/>
        <w:rPr>
          <w:sz w:val="24"/>
          <w:szCs w:val="24"/>
        </w:rPr>
      </w:pPr>
      <w:r w:rsidRPr="00BA5AA9">
        <w:rPr>
          <w:sz w:val="24"/>
          <w:szCs w:val="24"/>
        </w:rPr>
        <w:t>[</w:t>
      </w:r>
      <w:r w:rsidRPr="00BA5AA9">
        <w:rPr>
          <w:sz w:val="24"/>
          <w:szCs w:val="24"/>
          <w:highlight w:val="yellow"/>
        </w:rPr>
        <w:t>Developer/Seller</w:t>
      </w:r>
      <w:r w:rsidR="00FE0C2F" w:rsidRPr="00BA5AA9">
        <w:rPr>
          <w:sz w:val="24"/>
          <w:szCs w:val="24"/>
          <w:highlight w:val="yellow"/>
        </w:rPr>
        <w:t xml:space="preserve"> </w:t>
      </w:r>
      <w:r w:rsidRPr="00BA5AA9">
        <w:rPr>
          <w:sz w:val="24"/>
          <w:szCs w:val="24"/>
          <w:highlight w:val="yellow"/>
        </w:rPr>
        <w:t>Name</w:t>
      </w:r>
      <w:r w:rsidRPr="00BA5AA9">
        <w:rPr>
          <w:sz w:val="24"/>
          <w:szCs w:val="24"/>
        </w:rPr>
        <w:t>]</w:t>
      </w:r>
      <w:r w:rsidR="00FE0C2F" w:rsidRPr="00BA5AA9">
        <w:rPr>
          <w:sz w:val="24"/>
          <w:szCs w:val="24"/>
        </w:rPr>
        <w:t xml:space="preserve"> </w:t>
      </w:r>
      <w:r w:rsidRPr="00BA5AA9">
        <w:rPr>
          <w:sz w:val="24"/>
          <w:szCs w:val="24"/>
        </w:rPr>
        <w:t>(“</w:t>
      </w:r>
      <w:r w:rsidRPr="003208F1">
        <w:rPr>
          <w:sz w:val="24"/>
          <w:szCs w:val="24"/>
        </w:rPr>
        <w:t>Seller</w:t>
      </w:r>
      <w:r w:rsidRPr="00BA5AA9">
        <w:rPr>
          <w:sz w:val="24"/>
          <w:szCs w:val="24"/>
        </w:rPr>
        <w:t>”)</w:t>
      </w:r>
      <w:r w:rsidR="00B3243E" w:rsidRPr="00BA5AA9">
        <w:rPr>
          <w:sz w:val="24"/>
          <w:szCs w:val="24"/>
        </w:rPr>
        <w:t>.</w:t>
      </w:r>
    </w:p>
    <w:p w14:paraId="4E4C891B" w14:textId="660E7ACD" w:rsidR="0041604E" w:rsidRDefault="0041604E">
      <w:pPr>
        <w:spacing w:before="120" w:after="120"/>
        <w:jc w:val="both"/>
        <w:rPr>
          <w:b/>
          <w:bCs/>
          <w:sz w:val="24"/>
          <w:szCs w:val="24"/>
        </w:rPr>
      </w:pPr>
      <w:r>
        <w:rPr>
          <w:b/>
          <w:bCs/>
          <w:sz w:val="24"/>
          <w:szCs w:val="24"/>
        </w:rPr>
        <w:t>FACILITY</w:t>
      </w:r>
    </w:p>
    <w:p w14:paraId="222685B8" w14:textId="243751A5" w:rsidR="00786962" w:rsidRPr="0041604E" w:rsidRDefault="0041604E" w:rsidP="0041604E">
      <w:pPr>
        <w:spacing w:before="120" w:after="120"/>
        <w:jc w:val="both"/>
        <w:rPr>
          <w:sz w:val="24"/>
          <w:szCs w:val="24"/>
        </w:rPr>
      </w:pPr>
      <w:r>
        <w:rPr>
          <w:b/>
          <w:bCs/>
          <w:sz w:val="24"/>
          <w:szCs w:val="24"/>
        </w:rPr>
        <w:t>[</w:t>
      </w:r>
      <w:r w:rsidRPr="005568C1">
        <w:rPr>
          <w:sz w:val="24"/>
          <w:szCs w:val="24"/>
          <w:highlight w:val="yellow"/>
        </w:rPr>
        <w:t>Developer/Seller to include a brief description</w:t>
      </w:r>
      <w:r w:rsidR="00A4352C" w:rsidRPr="005568C1">
        <w:rPr>
          <w:sz w:val="24"/>
          <w:szCs w:val="24"/>
          <w:highlight w:val="yellow"/>
        </w:rPr>
        <w:t>/name</w:t>
      </w:r>
      <w:r w:rsidRPr="005568C1">
        <w:rPr>
          <w:sz w:val="24"/>
          <w:szCs w:val="24"/>
          <w:highlight w:val="yellow"/>
        </w:rPr>
        <w:t xml:space="preserve"> of the project</w:t>
      </w:r>
      <w:r w:rsidR="00786962" w:rsidRPr="005568C1">
        <w:rPr>
          <w:sz w:val="24"/>
          <w:szCs w:val="24"/>
          <w:highlight w:val="yellow"/>
        </w:rPr>
        <w:t>,</w:t>
      </w:r>
      <w:r w:rsidR="00604CDF" w:rsidRPr="005568C1">
        <w:rPr>
          <w:sz w:val="24"/>
          <w:szCs w:val="24"/>
          <w:highlight w:val="yellow"/>
        </w:rPr>
        <w:t xml:space="preserve"> including town or county where located</w:t>
      </w:r>
      <w:r w:rsidR="0060003B" w:rsidRPr="005568C1">
        <w:rPr>
          <w:sz w:val="24"/>
          <w:szCs w:val="24"/>
          <w:highlight w:val="yellow"/>
        </w:rPr>
        <w:t xml:space="preserve"> and estimated nameplate and</w:t>
      </w:r>
      <w:r w:rsidR="00786962" w:rsidRPr="005568C1">
        <w:rPr>
          <w:sz w:val="24"/>
          <w:szCs w:val="24"/>
          <w:highlight w:val="yellow"/>
        </w:rPr>
        <w:t xml:space="preserve"> includ</w:t>
      </w:r>
      <w:r w:rsidR="0060003B" w:rsidRPr="005568C1">
        <w:rPr>
          <w:sz w:val="24"/>
          <w:szCs w:val="24"/>
          <w:highlight w:val="yellow"/>
        </w:rPr>
        <w:t xml:space="preserve">e capacity and hour </w:t>
      </w:r>
      <w:r w:rsidR="003C609E" w:rsidRPr="005568C1">
        <w:rPr>
          <w:sz w:val="24"/>
          <w:szCs w:val="24"/>
          <w:highlight w:val="yellow"/>
        </w:rPr>
        <w:t>figures for</w:t>
      </w:r>
      <w:r w:rsidR="00786962" w:rsidRPr="005568C1">
        <w:rPr>
          <w:sz w:val="24"/>
          <w:szCs w:val="24"/>
          <w:highlight w:val="yellow"/>
        </w:rPr>
        <w:t xml:space="preserve"> the battery energy storage component, if any</w:t>
      </w:r>
      <w:r>
        <w:rPr>
          <w:sz w:val="24"/>
          <w:szCs w:val="24"/>
        </w:rPr>
        <w:t>], (the “Facility”).</w:t>
      </w:r>
    </w:p>
    <w:p w14:paraId="12294658" w14:textId="668521C6" w:rsidR="006E3589" w:rsidRPr="00BA5AA9" w:rsidRDefault="004F7278" w:rsidP="006E3589">
      <w:pPr>
        <w:spacing w:before="120" w:after="120"/>
        <w:rPr>
          <w:b/>
          <w:bCs/>
          <w:sz w:val="24"/>
          <w:szCs w:val="24"/>
        </w:rPr>
      </w:pPr>
      <w:r>
        <w:rPr>
          <w:b/>
          <w:bCs/>
          <w:sz w:val="24"/>
          <w:szCs w:val="24"/>
        </w:rPr>
        <w:t xml:space="preserve">TYPE OF </w:t>
      </w:r>
      <w:r w:rsidR="006E3589" w:rsidRPr="00BA5AA9">
        <w:rPr>
          <w:b/>
          <w:bCs/>
          <w:sz w:val="24"/>
          <w:szCs w:val="24"/>
        </w:rPr>
        <w:t>TRANSACTION</w:t>
      </w:r>
    </w:p>
    <w:p w14:paraId="43132D11" w14:textId="67001D03" w:rsidR="00196F43" w:rsidRPr="00BA5AA9" w:rsidRDefault="006E3589">
      <w:pPr>
        <w:spacing w:before="120" w:after="120"/>
        <w:jc w:val="both"/>
        <w:rPr>
          <w:sz w:val="24"/>
          <w:szCs w:val="24"/>
        </w:rPr>
      </w:pPr>
      <w:r w:rsidRPr="00BA5AA9">
        <w:rPr>
          <w:sz w:val="24"/>
          <w:szCs w:val="24"/>
        </w:rPr>
        <w:t>The</w:t>
      </w:r>
      <w:r w:rsidR="00DC2FF2">
        <w:rPr>
          <w:sz w:val="24"/>
          <w:szCs w:val="24"/>
        </w:rPr>
        <w:t xml:space="preserve"> </w:t>
      </w:r>
      <w:r>
        <w:rPr>
          <w:sz w:val="24"/>
          <w:szCs w:val="24"/>
        </w:rPr>
        <w:t>Definitive Agreements</w:t>
      </w:r>
      <w:r w:rsidR="00DC2FF2">
        <w:rPr>
          <w:sz w:val="24"/>
          <w:szCs w:val="24"/>
        </w:rPr>
        <w:t xml:space="preserve"> </w:t>
      </w:r>
      <w:r>
        <w:rPr>
          <w:sz w:val="24"/>
          <w:szCs w:val="24"/>
        </w:rPr>
        <w:t>will include the transaction structure</w:t>
      </w:r>
      <w:r w:rsidR="007D1829">
        <w:rPr>
          <w:sz w:val="24"/>
          <w:szCs w:val="24"/>
        </w:rPr>
        <w:t xml:space="preserve"> for the purchase and sale of the Facility</w:t>
      </w:r>
      <w:r w:rsidR="007B79D3">
        <w:rPr>
          <w:sz w:val="24"/>
          <w:szCs w:val="24"/>
        </w:rPr>
        <w:t>,</w:t>
      </w:r>
      <w:r>
        <w:rPr>
          <w:sz w:val="24"/>
          <w:szCs w:val="24"/>
        </w:rPr>
        <w:t xml:space="preserve"> to be </w:t>
      </w:r>
      <w:r w:rsidR="00765377">
        <w:rPr>
          <w:sz w:val="24"/>
          <w:szCs w:val="24"/>
        </w:rPr>
        <w:t>finalized</w:t>
      </w:r>
      <w:r>
        <w:rPr>
          <w:sz w:val="24"/>
          <w:szCs w:val="24"/>
        </w:rPr>
        <w:t xml:space="preserve"> in Buyer’s </w:t>
      </w:r>
      <w:r w:rsidR="004F7278">
        <w:rPr>
          <w:sz w:val="24"/>
          <w:szCs w:val="24"/>
        </w:rPr>
        <w:t xml:space="preserve">sole </w:t>
      </w:r>
      <w:r>
        <w:rPr>
          <w:sz w:val="24"/>
          <w:szCs w:val="24"/>
        </w:rPr>
        <w:t>discretion depending on development stage, project size and tax and regulatory considerations.</w:t>
      </w:r>
      <w:r w:rsidR="001C563E">
        <w:rPr>
          <w:sz w:val="24"/>
          <w:szCs w:val="24"/>
        </w:rPr>
        <w:t xml:space="preserve"> It is contemplated that Buyer will purchase the interests in</w:t>
      </w:r>
      <w:r w:rsidR="006634B1">
        <w:rPr>
          <w:sz w:val="24"/>
          <w:szCs w:val="24"/>
        </w:rPr>
        <w:t xml:space="preserve"> a special purpose entity that owns all of the assets of the Facility</w:t>
      </w:r>
      <w:r w:rsidR="001C563E">
        <w:rPr>
          <w:sz w:val="24"/>
          <w:szCs w:val="24"/>
        </w:rPr>
        <w:t xml:space="preserve">, or </w:t>
      </w:r>
      <w:r w:rsidR="006634B1">
        <w:rPr>
          <w:sz w:val="24"/>
          <w:szCs w:val="24"/>
        </w:rPr>
        <w:t xml:space="preserve">the </w:t>
      </w:r>
      <w:r w:rsidR="001C563E">
        <w:rPr>
          <w:sz w:val="24"/>
          <w:szCs w:val="24"/>
        </w:rPr>
        <w:t>assets of the Facility</w:t>
      </w:r>
      <w:r w:rsidR="00765377">
        <w:rPr>
          <w:sz w:val="24"/>
          <w:szCs w:val="24"/>
        </w:rPr>
        <w:t xml:space="preserve"> directly</w:t>
      </w:r>
      <w:r w:rsidR="006634B1">
        <w:rPr>
          <w:sz w:val="24"/>
          <w:szCs w:val="24"/>
        </w:rPr>
        <w:t>, in each case,</w:t>
      </w:r>
      <w:r w:rsidR="00E729F1">
        <w:rPr>
          <w:sz w:val="24"/>
          <w:szCs w:val="24"/>
        </w:rPr>
        <w:t xml:space="preserve"> on the Closing Date (as defined below)</w:t>
      </w:r>
      <w:r w:rsidR="004F7278">
        <w:rPr>
          <w:sz w:val="24"/>
          <w:szCs w:val="24"/>
        </w:rPr>
        <w:t xml:space="preserve"> </w:t>
      </w:r>
      <w:r w:rsidR="006634B1">
        <w:rPr>
          <w:sz w:val="24"/>
          <w:szCs w:val="24"/>
        </w:rPr>
        <w:t xml:space="preserve">subject </w:t>
      </w:r>
      <w:r w:rsidR="00823DF9">
        <w:rPr>
          <w:sz w:val="24"/>
          <w:szCs w:val="24"/>
        </w:rPr>
        <w:t xml:space="preserve">to </w:t>
      </w:r>
      <w:r w:rsidR="006634B1">
        <w:rPr>
          <w:sz w:val="24"/>
          <w:szCs w:val="24"/>
        </w:rPr>
        <w:t xml:space="preserve">the occurrence of </w:t>
      </w:r>
      <w:r w:rsidR="004F7278">
        <w:rPr>
          <w:sz w:val="24"/>
          <w:szCs w:val="24"/>
        </w:rPr>
        <w:t>Mechanical Completion</w:t>
      </w:r>
      <w:r w:rsidR="00E729F1">
        <w:rPr>
          <w:sz w:val="24"/>
          <w:szCs w:val="24"/>
        </w:rPr>
        <w:t xml:space="preserve"> </w:t>
      </w:r>
      <w:r w:rsidR="006634B1">
        <w:rPr>
          <w:sz w:val="24"/>
          <w:szCs w:val="24"/>
        </w:rPr>
        <w:t>(but prior to energization of any portion of the Facility) and satisfaction of other customary conditions precedent</w:t>
      </w:r>
      <w:r w:rsidR="00C074E8">
        <w:rPr>
          <w:sz w:val="24"/>
          <w:szCs w:val="24"/>
        </w:rPr>
        <w:t xml:space="preserve"> including those set forth herein</w:t>
      </w:r>
      <w:r w:rsidR="006634B1">
        <w:rPr>
          <w:sz w:val="24"/>
          <w:szCs w:val="24"/>
        </w:rPr>
        <w:t xml:space="preserve">, </w:t>
      </w:r>
      <w:r w:rsidR="00E729F1">
        <w:rPr>
          <w:sz w:val="24"/>
          <w:szCs w:val="24"/>
        </w:rPr>
        <w:t>and</w:t>
      </w:r>
      <w:r w:rsidR="001C563E">
        <w:rPr>
          <w:sz w:val="24"/>
          <w:szCs w:val="24"/>
        </w:rPr>
        <w:t xml:space="preserve"> prior to the Commercial Operation Date of the Facility</w:t>
      </w:r>
      <w:r w:rsidR="006634B1">
        <w:rPr>
          <w:sz w:val="24"/>
          <w:szCs w:val="24"/>
        </w:rPr>
        <w:t>,</w:t>
      </w:r>
      <w:r w:rsidR="003E2132">
        <w:rPr>
          <w:sz w:val="24"/>
          <w:szCs w:val="24"/>
        </w:rPr>
        <w:t xml:space="preserve"> on the payment schedule set forth below</w:t>
      </w:r>
      <w:r w:rsidR="001C563E">
        <w:rPr>
          <w:sz w:val="24"/>
          <w:szCs w:val="24"/>
        </w:rPr>
        <w:t>.</w:t>
      </w:r>
    </w:p>
    <w:p w14:paraId="173924CC" w14:textId="3F518A75" w:rsidR="00B3243E" w:rsidRPr="00BA5AA9" w:rsidRDefault="00B3243E" w:rsidP="00B3243E">
      <w:pPr>
        <w:spacing w:before="120" w:after="120"/>
        <w:rPr>
          <w:b/>
          <w:bCs/>
          <w:sz w:val="24"/>
          <w:szCs w:val="24"/>
        </w:rPr>
      </w:pPr>
      <w:r w:rsidRPr="00BA5AA9">
        <w:rPr>
          <w:b/>
          <w:bCs/>
          <w:sz w:val="24"/>
          <w:szCs w:val="24"/>
        </w:rPr>
        <w:t>SELLER SECURITY</w:t>
      </w:r>
    </w:p>
    <w:p w14:paraId="7654A434" w14:textId="0DD38A82" w:rsidR="00F25E4C" w:rsidRPr="00BA5AA9" w:rsidRDefault="00830522" w:rsidP="00BA5AA9">
      <w:pPr>
        <w:spacing w:before="120" w:after="120"/>
        <w:jc w:val="both"/>
        <w:rPr>
          <w:sz w:val="24"/>
          <w:szCs w:val="24"/>
        </w:rPr>
      </w:pPr>
      <w:r>
        <w:rPr>
          <w:sz w:val="24"/>
          <w:szCs w:val="24"/>
        </w:rPr>
        <w:t>The Definitive Agreements will include a requirement for Seller to provide</w:t>
      </w:r>
      <w:r w:rsidR="00FE0C2F" w:rsidRPr="00BA5AA9">
        <w:rPr>
          <w:sz w:val="24"/>
          <w:szCs w:val="24"/>
        </w:rPr>
        <w:t xml:space="preserve"> </w:t>
      </w:r>
      <w:r w:rsidR="00D9400D" w:rsidRPr="00BA5AA9">
        <w:rPr>
          <w:sz w:val="24"/>
          <w:szCs w:val="24"/>
        </w:rPr>
        <w:t xml:space="preserve">credit support </w:t>
      </w:r>
      <w:r w:rsidR="00EE4AC6">
        <w:rPr>
          <w:sz w:val="24"/>
          <w:szCs w:val="24"/>
        </w:rPr>
        <w:t>in the form of cash, a guaranty from a</w:t>
      </w:r>
      <w:r w:rsidR="00D9400D" w:rsidRPr="00BA5AA9">
        <w:rPr>
          <w:sz w:val="24"/>
          <w:szCs w:val="24"/>
        </w:rPr>
        <w:t xml:space="preserve"> corporate guarantor</w:t>
      </w:r>
      <w:r w:rsidR="00AB2447" w:rsidRPr="00BA5AA9">
        <w:rPr>
          <w:sz w:val="24"/>
          <w:szCs w:val="24"/>
        </w:rPr>
        <w:t xml:space="preserve">, </w:t>
      </w:r>
      <w:r w:rsidR="00EE4AC6">
        <w:rPr>
          <w:sz w:val="24"/>
          <w:szCs w:val="24"/>
        </w:rPr>
        <w:t xml:space="preserve">a </w:t>
      </w:r>
      <w:r w:rsidR="00AB2447" w:rsidRPr="00BA5AA9">
        <w:rPr>
          <w:sz w:val="24"/>
          <w:szCs w:val="24"/>
        </w:rPr>
        <w:t>letter of credit or other form of security acceptable to Buyer (“</w:t>
      </w:r>
      <w:r w:rsidR="00AB2447" w:rsidRPr="003208F1">
        <w:rPr>
          <w:sz w:val="24"/>
          <w:szCs w:val="24"/>
        </w:rPr>
        <w:t>Seller Credit Support</w:t>
      </w:r>
      <w:r w:rsidR="00AB2447" w:rsidRPr="00BA5AA9">
        <w:rPr>
          <w:sz w:val="24"/>
          <w:szCs w:val="24"/>
        </w:rPr>
        <w:t>”) covering all of Seller’s</w:t>
      </w:r>
      <w:r w:rsidR="00DB3659">
        <w:rPr>
          <w:sz w:val="24"/>
          <w:szCs w:val="24"/>
        </w:rPr>
        <w:t xml:space="preserve"> obligations under the Defini</w:t>
      </w:r>
      <w:r w:rsidR="00413983">
        <w:rPr>
          <w:sz w:val="24"/>
          <w:szCs w:val="24"/>
        </w:rPr>
        <w:t>tiv</w:t>
      </w:r>
      <w:r w:rsidR="00DB3659">
        <w:rPr>
          <w:sz w:val="24"/>
          <w:szCs w:val="24"/>
        </w:rPr>
        <w:t>e Agreements</w:t>
      </w:r>
      <w:r w:rsidR="00765377">
        <w:rPr>
          <w:sz w:val="24"/>
          <w:szCs w:val="24"/>
        </w:rPr>
        <w:t xml:space="preserve"> as well as obligations to complete the Facility.</w:t>
      </w:r>
    </w:p>
    <w:p w14:paraId="7654A436" w14:textId="7869A563" w:rsidR="00F25E4C" w:rsidRPr="00BA5AA9" w:rsidRDefault="00B31872" w:rsidP="00BA5AA9">
      <w:pPr>
        <w:spacing w:before="120" w:after="120"/>
        <w:rPr>
          <w:b/>
          <w:bCs/>
          <w:sz w:val="24"/>
          <w:szCs w:val="24"/>
        </w:rPr>
      </w:pPr>
      <w:r w:rsidRPr="00BA5AA9">
        <w:rPr>
          <w:b/>
          <w:bCs/>
          <w:sz w:val="24"/>
          <w:szCs w:val="24"/>
        </w:rPr>
        <w:t>PURCHASE PRICE AND PAYMENT TERMS</w:t>
      </w:r>
    </w:p>
    <w:p w14:paraId="04AD75ED" w14:textId="383CBA1A" w:rsidR="00765377" w:rsidRDefault="00765377" w:rsidP="00BA5AA9">
      <w:pPr>
        <w:spacing w:before="120" w:after="120"/>
        <w:jc w:val="both"/>
        <w:rPr>
          <w:sz w:val="24"/>
          <w:szCs w:val="24"/>
        </w:rPr>
      </w:pPr>
      <w:r w:rsidRPr="00BA5AA9">
        <w:rPr>
          <w:sz w:val="24"/>
          <w:szCs w:val="24"/>
        </w:rPr>
        <w:t xml:space="preserve">Unless the parties agree to </w:t>
      </w:r>
      <w:r>
        <w:rPr>
          <w:sz w:val="24"/>
          <w:szCs w:val="24"/>
        </w:rPr>
        <w:t xml:space="preserve">additional </w:t>
      </w:r>
      <w:r w:rsidRPr="00BA5AA9">
        <w:rPr>
          <w:sz w:val="24"/>
          <w:szCs w:val="24"/>
        </w:rPr>
        <w:t>progress payments</w:t>
      </w:r>
      <w:r>
        <w:rPr>
          <w:sz w:val="24"/>
          <w:szCs w:val="24"/>
        </w:rPr>
        <w:t xml:space="preserve"> as set forth below</w:t>
      </w:r>
      <w:r w:rsidRPr="00BA5AA9">
        <w:rPr>
          <w:sz w:val="24"/>
          <w:szCs w:val="24"/>
        </w:rPr>
        <w:t>, the</w:t>
      </w:r>
      <w:r>
        <w:rPr>
          <w:sz w:val="24"/>
          <w:szCs w:val="24"/>
        </w:rPr>
        <w:t xml:space="preserve"> consideration under the Definitive Agreement (the </w:t>
      </w:r>
      <w:r w:rsidRPr="00BA5AA9">
        <w:rPr>
          <w:sz w:val="24"/>
          <w:szCs w:val="24"/>
        </w:rPr>
        <w:t>“</w:t>
      </w:r>
      <w:r w:rsidRPr="00A2475A">
        <w:rPr>
          <w:sz w:val="24"/>
          <w:szCs w:val="24"/>
        </w:rPr>
        <w:t>Purchase Price</w:t>
      </w:r>
      <w:r w:rsidRPr="00BA5AA9">
        <w:rPr>
          <w:sz w:val="24"/>
          <w:szCs w:val="24"/>
        </w:rPr>
        <w:t>”</w:t>
      </w:r>
      <w:r>
        <w:rPr>
          <w:sz w:val="24"/>
          <w:szCs w:val="24"/>
        </w:rPr>
        <w:t>),</w:t>
      </w:r>
      <w:r w:rsidRPr="00BA5AA9">
        <w:rPr>
          <w:sz w:val="24"/>
          <w:szCs w:val="24"/>
        </w:rPr>
        <w:t xml:space="preserve"> which is not to</w:t>
      </w:r>
      <w:r>
        <w:rPr>
          <w:sz w:val="24"/>
          <w:szCs w:val="24"/>
        </w:rPr>
        <w:t xml:space="preserve"> exceed</w:t>
      </w:r>
      <w:r w:rsidRPr="00EE18AD">
        <w:rPr>
          <w:sz w:val="24"/>
          <w:szCs w:val="24"/>
        </w:rPr>
        <w:t xml:space="preserve"> [</w:t>
      </w:r>
      <w:r w:rsidRPr="00EE18AD">
        <w:rPr>
          <w:sz w:val="24"/>
          <w:szCs w:val="24"/>
          <w:highlight w:val="yellow"/>
        </w:rPr>
        <w:t>$</w:t>
      </w:r>
      <w:r w:rsidR="00EE18AD" w:rsidRPr="00EE18AD">
        <w:rPr>
          <w:sz w:val="24"/>
          <w:szCs w:val="24"/>
          <w:highlight w:val="yellow"/>
        </w:rPr>
        <w:t>•</w:t>
      </w:r>
      <w:r w:rsidRPr="00EE18AD">
        <w:rPr>
          <w:sz w:val="24"/>
          <w:szCs w:val="24"/>
        </w:rPr>
        <w:t>],</w:t>
      </w:r>
      <w:r w:rsidRPr="00BA5AA9">
        <w:rPr>
          <w:sz w:val="24"/>
          <w:szCs w:val="24"/>
        </w:rPr>
        <w:t xml:space="preserve"> </w:t>
      </w:r>
      <w:r>
        <w:rPr>
          <w:sz w:val="24"/>
          <w:szCs w:val="24"/>
        </w:rPr>
        <w:t xml:space="preserve">and which </w:t>
      </w:r>
      <w:proofErr w:type="spellStart"/>
      <w:r w:rsidR="0080083F">
        <w:rPr>
          <w:sz w:val="24"/>
          <w:szCs w:val="24"/>
        </w:rPr>
        <w:t>i</w:t>
      </w:r>
      <w:proofErr w:type="spellEnd"/>
      <w:r w:rsidR="0080083F">
        <w:rPr>
          <w:sz w:val="24"/>
          <w:szCs w:val="24"/>
        </w:rPr>
        <w:t xml:space="preserve">) </w:t>
      </w:r>
      <w:r>
        <w:rPr>
          <w:sz w:val="24"/>
          <w:szCs w:val="24"/>
        </w:rPr>
        <w:t>assumes the capacity set forth in the Facility description above</w:t>
      </w:r>
      <w:r w:rsidR="00FE11D0">
        <w:rPr>
          <w:sz w:val="24"/>
          <w:szCs w:val="24"/>
        </w:rPr>
        <w:t xml:space="preserve"> and</w:t>
      </w:r>
      <w:r w:rsidR="0080083F">
        <w:rPr>
          <w:sz w:val="24"/>
          <w:szCs w:val="24"/>
        </w:rPr>
        <w:t xml:space="preserve"> ii)</w:t>
      </w:r>
      <w:r w:rsidR="00FE11D0">
        <w:rPr>
          <w:sz w:val="24"/>
          <w:szCs w:val="24"/>
        </w:rPr>
        <w:t xml:space="preserve"> includes mutually agreed tax assumptions</w:t>
      </w:r>
      <w:r>
        <w:rPr>
          <w:sz w:val="24"/>
          <w:szCs w:val="24"/>
        </w:rPr>
        <w:t xml:space="preserve">, </w:t>
      </w:r>
      <w:r w:rsidRPr="00BA5AA9">
        <w:rPr>
          <w:sz w:val="24"/>
          <w:szCs w:val="24"/>
        </w:rPr>
        <w:t xml:space="preserve">will be paid by Buyer in </w:t>
      </w:r>
      <w:r>
        <w:rPr>
          <w:sz w:val="24"/>
          <w:szCs w:val="24"/>
        </w:rPr>
        <w:t>three</w:t>
      </w:r>
      <w:r w:rsidRPr="00BA5AA9">
        <w:rPr>
          <w:sz w:val="24"/>
          <w:szCs w:val="24"/>
        </w:rPr>
        <w:t xml:space="preserve"> installments</w:t>
      </w:r>
      <w:r>
        <w:rPr>
          <w:sz w:val="24"/>
          <w:szCs w:val="24"/>
        </w:rPr>
        <w:t xml:space="preserve"> upon the Commencement Date, the Closing Date and Substantial Completion as set forth  on </w:t>
      </w:r>
      <w:r w:rsidRPr="0080083F">
        <w:rPr>
          <w:sz w:val="24"/>
          <w:szCs w:val="24"/>
          <w:u w:val="single"/>
        </w:rPr>
        <w:t>Exhibit C</w:t>
      </w:r>
      <w:r>
        <w:rPr>
          <w:sz w:val="24"/>
          <w:szCs w:val="24"/>
        </w:rPr>
        <w:t xml:space="preserve"> and as described further below.</w:t>
      </w:r>
    </w:p>
    <w:p w14:paraId="4BD4B874" w14:textId="77777777" w:rsidR="00765377" w:rsidRDefault="00765377" w:rsidP="00BA5AA9">
      <w:pPr>
        <w:spacing w:before="120" w:after="120"/>
        <w:jc w:val="both"/>
        <w:rPr>
          <w:sz w:val="24"/>
          <w:szCs w:val="24"/>
        </w:rPr>
      </w:pPr>
    </w:p>
    <w:p w14:paraId="39105A7A" w14:textId="77777777" w:rsidR="00765377" w:rsidRDefault="00765377" w:rsidP="00BA5AA9">
      <w:pPr>
        <w:spacing w:before="120" w:after="120"/>
        <w:jc w:val="both"/>
        <w:rPr>
          <w:sz w:val="24"/>
          <w:szCs w:val="24"/>
        </w:rPr>
      </w:pPr>
    </w:p>
    <w:p w14:paraId="114B6F36" w14:textId="45414F97" w:rsidR="00765377" w:rsidRPr="00FE11D0" w:rsidRDefault="00765377" w:rsidP="00FE11D0">
      <w:pPr>
        <w:spacing w:before="120" w:after="120"/>
        <w:jc w:val="both"/>
        <w:rPr>
          <w:i/>
          <w:iCs/>
          <w:sz w:val="24"/>
          <w:szCs w:val="24"/>
          <w:u w:val="single"/>
        </w:rPr>
      </w:pPr>
      <w:r w:rsidRPr="00FE11D0">
        <w:rPr>
          <w:i/>
          <w:iCs/>
          <w:sz w:val="24"/>
          <w:szCs w:val="24"/>
          <w:u w:val="single"/>
        </w:rPr>
        <w:t>Commencement Date Payment</w:t>
      </w:r>
    </w:p>
    <w:p w14:paraId="7628A1FE" w14:textId="2200BC7B" w:rsidR="004A2851" w:rsidRDefault="009330A6" w:rsidP="00BA5AA9">
      <w:pPr>
        <w:spacing w:before="120" w:after="120"/>
        <w:jc w:val="both"/>
        <w:rPr>
          <w:sz w:val="24"/>
          <w:szCs w:val="24"/>
        </w:rPr>
      </w:pPr>
      <w:r>
        <w:rPr>
          <w:sz w:val="24"/>
          <w:szCs w:val="24"/>
        </w:rPr>
        <w:t>The initial</w:t>
      </w:r>
      <w:r w:rsidR="00AB2447" w:rsidRPr="00BA5AA9">
        <w:rPr>
          <w:sz w:val="24"/>
          <w:szCs w:val="24"/>
        </w:rPr>
        <w:t xml:space="preserve"> installment</w:t>
      </w:r>
      <w:r>
        <w:rPr>
          <w:sz w:val="24"/>
          <w:szCs w:val="24"/>
        </w:rPr>
        <w:t xml:space="preserve"> payment shall be made</w:t>
      </w:r>
      <w:r w:rsidR="008A5EAD">
        <w:rPr>
          <w:sz w:val="24"/>
          <w:szCs w:val="24"/>
        </w:rPr>
        <w:t xml:space="preserve"> upon</w:t>
      </w:r>
      <w:r w:rsidR="00AB2447" w:rsidRPr="00BA5AA9">
        <w:rPr>
          <w:sz w:val="24"/>
          <w:szCs w:val="24"/>
        </w:rPr>
        <w:t xml:space="preserve"> </w:t>
      </w:r>
      <w:r w:rsidR="0019273A">
        <w:rPr>
          <w:sz w:val="24"/>
          <w:szCs w:val="24"/>
        </w:rPr>
        <w:t>the start of construction</w:t>
      </w:r>
      <w:r w:rsidR="00C86F4D">
        <w:rPr>
          <w:sz w:val="24"/>
          <w:szCs w:val="24"/>
        </w:rPr>
        <w:t xml:space="preserve"> for the Project</w:t>
      </w:r>
      <w:r w:rsidR="0019273A">
        <w:rPr>
          <w:sz w:val="24"/>
          <w:szCs w:val="24"/>
        </w:rPr>
        <w:t>, subject to the conditions below</w:t>
      </w:r>
      <w:r w:rsidR="00AB2447" w:rsidRPr="00BA5AA9">
        <w:rPr>
          <w:sz w:val="24"/>
          <w:szCs w:val="24"/>
        </w:rPr>
        <w:t xml:space="preserve"> </w:t>
      </w:r>
      <w:r w:rsidR="00C54BA5">
        <w:rPr>
          <w:sz w:val="24"/>
          <w:szCs w:val="24"/>
        </w:rPr>
        <w:t>(“</w:t>
      </w:r>
      <w:r w:rsidR="00AB2447" w:rsidRPr="00BA5AA9">
        <w:rPr>
          <w:sz w:val="24"/>
          <w:szCs w:val="24"/>
        </w:rPr>
        <w:t>C</w:t>
      </w:r>
      <w:r w:rsidR="00637989">
        <w:rPr>
          <w:sz w:val="24"/>
          <w:szCs w:val="24"/>
        </w:rPr>
        <w:t>ommencement</w:t>
      </w:r>
      <w:r w:rsidR="005E0AA6">
        <w:rPr>
          <w:sz w:val="24"/>
          <w:szCs w:val="24"/>
        </w:rPr>
        <w:t>;</w:t>
      </w:r>
      <w:r w:rsidR="00C54BA5">
        <w:rPr>
          <w:sz w:val="24"/>
          <w:szCs w:val="24"/>
        </w:rPr>
        <w:t>”</w:t>
      </w:r>
      <w:r w:rsidR="00E2096B">
        <w:rPr>
          <w:sz w:val="24"/>
          <w:szCs w:val="24"/>
        </w:rPr>
        <w:t xml:space="preserve"> the date on which this occurs</w:t>
      </w:r>
      <w:r w:rsidR="00506B4B">
        <w:rPr>
          <w:sz w:val="24"/>
          <w:szCs w:val="24"/>
        </w:rPr>
        <w:t>,</w:t>
      </w:r>
      <w:r w:rsidR="00E2096B">
        <w:rPr>
          <w:sz w:val="24"/>
          <w:szCs w:val="24"/>
        </w:rPr>
        <w:t xml:space="preserve"> the </w:t>
      </w:r>
      <w:r>
        <w:rPr>
          <w:sz w:val="24"/>
          <w:szCs w:val="24"/>
        </w:rPr>
        <w:t>“</w:t>
      </w:r>
      <w:r w:rsidR="00E2096B">
        <w:rPr>
          <w:sz w:val="24"/>
          <w:szCs w:val="24"/>
        </w:rPr>
        <w:t>Commencement Date</w:t>
      </w:r>
      <w:r>
        <w:rPr>
          <w:sz w:val="24"/>
          <w:szCs w:val="24"/>
        </w:rPr>
        <w:t>”</w:t>
      </w:r>
      <w:r w:rsidR="00C54BA5">
        <w:rPr>
          <w:sz w:val="24"/>
          <w:szCs w:val="24"/>
        </w:rPr>
        <w:t>)</w:t>
      </w:r>
      <w:r w:rsidR="005E0AA6">
        <w:rPr>
          <w:sz w:val="24"/>
          <w:szCs w:val="24"/>
        </w:rPr>
        <w:t>.</w:t>
      </w:r>
      <w:r w:rsidR="00AB2447" w:rsidRPr="00BA5AA9">
        <w:rPr>
          <w:sz w:val="24"/>
          <w:szCs w:val="24"/>
        </w:rPr>
        <w:t xml:space="preserve"> </w:t>
      </w:r>
    </w:p>
    <w:p w14:paraId="0AE52357" w14:textId="3D576C2E" w:rsidR="00CC28E9" w:rsidRDefault="0058306D" w:rsidP="00BA5AA9">
      <w:pPr>
        <w:spacing w:before="120" w:after="120"/>
        <w:jc w:val="both"/>
        <w:rPr>
          <w:sz w:val="24"/>
          <w:szCs w:val="24"/>
        </w:rPr>
      </w:pPr>
      <w:r w:rsidRPr="00BA5AA9">
        <w:rPr>
          <w:sz w:val="24"/>
          <w:szCs w:val="24"/>
        </w:rPr>
        <w:t xml:space="preserve">The </w:t>
      </w:r>
      <w:r w:rsidR="00327128">
        <w:rPr>
          <w:sz w:val="24"/>
          <w:szCs w:val="24"/>
        </w:rPr>
        <w:t xml:space="preserve">Definitive </w:t>
      </w:r>
      <w:r w:rsidRPr="00BA5AA9">
        <w:rPr>
          <w:sz w:val="24"/>
          <w:szCs w:val="24"/>
        </w:rPr>
        <w:t>Agreement</w:t>
      </w:r>
      <w:r w:rsidR="00327128">
        <w:rPr>
          <w:sz w:val="24"/>
          <w:szCs w:val="24"/>
        </w:rPr>
        <w:t>s</w:t>
      </w:r>
      <w:r w:rsidRPr="00BA5AA9">
        <w:rPr>
          <w:sz w:val="24"/>
          <w:szCs w:val="24"/>
        </w:rPr>
        <w:t xml:space="preserve"> shall provide for the satisfaction, on or prior to the Commencement Date</w:t>
      </w:r>
      <w:r w:rsidR="00506B4B">
        <w:rPr>
          <w:sz w:val="24"/>
          <w:szCs w:val="24"/>
        </w:rPr>
        <w:t>,</w:t>
      </w:r>
      <w:r w:rsidR="00140DA7">
        <w:rPr>
          <w:sz w:val="24"/>
          <w:szCs w:val="24"/>
        </w:rPr>
        <w:t xml:space="preserve"> </w:t>
      </w:r>
      <w:r w:rsidRPr="00BA5AA9">
        <w:rPr>
          <w:sz w:val="24"/>
          <w:szCs w:val="24"/>
        </w:rPr>
        <w:t>and in each case in form and substance acceptable to Buyer and at Seller’s sole cost (except for costs of obtaining Buyer’s regulatory approvals, which shall be at Buyer’s sole cost)</w:t>
      </w:r>
      <w:r w:rsidR="003968F3">
        <w:rPr>
          <w:sz w:val="24"/>
          <w:szCs w:val="24"/>
        </w:rPr>
        <w:t>, of</w:t>
      </w:r>
      <w:r w:rsidRPr="00BA5AA9">
        <w:rPr>
          <w:sz w:val="24"/>
          <w:szCs w:val="24"/>
        </w:rPr>
        <w:t xml:space="preserve"> certain conditions</w:t>
      </w:r>
      <w:r w:rsidR="00140DA7">
        <w:rPr>
          <w:sz w:val="24"/>
          <w:szCs w:val="24"/>
        </w:rPr>
        <w:t xml:space="preserve"> </w:t>
      </w:r>
      <w:r w:rsidRPr="00BA5AA9">
        <w:rPr>
          <w:sz w:val="24"/>
          <w:szCs w:val="24"/>
        </w:rPr>
        <w:t>precedent (“</w:t>
      </w:r>
      <w:r w:rsidRPr="00BC1028">
        <w:rPr>
          <w:sz w:val="24"/>
          <w:szCs w:val="24"/>
        </w:rPr>
        <w:t>Commencement Date CPs</w:t>
      </w:r>
      <w:r w:rsidRPr="00BA5AA9">
        <w:rPr>
          <w:sz w:val="24"/>
          <w:szCs w:val="24"/>
        </w:rPr>
        <w:t>”</w:t>
      </w:r>
      <w:r w:rsidR="007E042D">
        <w:rPr>
          <w:sz w:val="24"/>
          <w:szCs w:val="24"/>
        </w:rPr>
        <w:t>)</w:t>
      </w:r>
      <w:r w:rsidR="00306059">
        <w:rPr>
          <w:sz w:val="24"/>
          <w:szCs w:val="24"/>
        </w:rPr>
        <w:t>.</w:t>
      </w:r>
    </w:p>
    <w:p w14:paraId="55FC1A75" w14:textId="3EB34025" w:rsidR="00CC28E9" w:rsidRPr="00BA5AA9" w:rsidRDefault="00CC28E9" w:rsidP="00CC28E9">
      <w:pPr>
        <w:spacing w:before="120" w:after="120"/>
        <w:jc w:val="both"/>
        <w:rPr>
          <w:sz w:val="24"/>
          <w:szCs w:val="24"/>
        </w:rPr>
      </w:pPr>
      <w:r w:rsidRPr="00BA5AA9">
        <w:rPr>
          <w:sz w:val="24"/>
          <w:szCs w:val="24"/>
        </w:rPr>
        <w:t>The Commencement Date CPs will include, without limitation</w:t>
      </w:r>
      <w:r w:rsidR="00BC1028">
        <w:rPr>
          <w:sz w:val="24"/>
          <w:szCs w:val="24"/>
        </w:rPr>
        <w:t>, and subject to further Buyer diligence</w:t>
      </w:r>
      <w:r w:rsidR="00306059">
        <w:rPr>
          <w:sz w:val="24"/>
          <w:szCs w:val="24"/>
        </w:rPr>
        <w:t>:</w:t>
      </w:r>
    </w:p>
    <w:p w14:paraId="46CE8429" w14:textId="0221D27B" w:rsidR="00EE4AC6" w:rsidRPr="00026FCB" w:rsidRDefault="00335960" w:rsidP="00026FCB">
      <w:pPr>
        <w:pStyle w:val="ArticleL3"/>
        <w:widowControl w:val="0"/>
        <w:numPr>
          <w:ilvl w:val="0"/>
          <w:numId w:val="26"/>
        </w:numPr>
        <w:tabs>
          <w:tab w:val="left" w:pos="2160"/>
        </w:tabs>
        <w:spacing w:after="120"/>
        <w:contextualSpacing/>
        <w:jc w:val="both"/>
        <w:outlineLvl w:val="9"/>
        <w:rPr>
          <w:rFonts w:cs="Times New Roman"/>
        </w:rPr>
      </w:pPr>
      <w:r>
        <w:rPr>
          <w:rFonts w:cs="Times New Roman"/>
        </w:rPr>
        <w:t>T</w:t>
      </w:r>
      <w:r w:rsidR="00BC1028" w:rsidRPr="00AD1A02">
        <w:rPr>
          <w:rFonts w:cs="Times New Roman"/>
        </w:rPr>
        <w:t>he design documents have been finalized</w:t>
      </w:r>
      <w:r w:rsidR="00BC1028">
        <w:rPr>
          <w:rFonts w:cs="Times New Roman"/>
        </w:rPr>
        <w:t xml:space="preserve"> and are in conformance with the technical specifications provided by Buyer</w:t>
      </w:r>
      <w:r w:rsidR="009C6E6E" w:rsidRPr="009C6E6E">
        <w:t xml:space="preserve"> </w:t>
      </w:r>
      <w:r w:rsidR="009C6E6E">
        <w:t xml:space="preserve">as </w:t>
      </w:r>
      <w:r w:rsidR="009C6E6E" w:rsidRPr="00BA5AA9">
        <w:t xml:space="preserve">Appendix D of the RFP </w:t>
      </w:r>
      <w:r w:rsidR="00BC1028">
        <w:rPr>
          <w:rFonts w:cs="Times New Roman"/>
        </w:rPr>
        <w:t>(the “Technical Requirements”</w:t>
      </w:r>
      <w:proofErr w:type="gramStart"/>
      <w:r w:rsidR="00BC1028">
        <w:rPr>
          <w:rFonts w:cs="Times New Roman"/>
        </w:rPr>
        <w:t>)</w:t>
      </w:r>
      <w:r w:rsidR="00BC1028" w:rsidRPr="00AD1A02">
        <w:rPr>
          <w:rFonts w:cs="Times New Roman"/>
        </w:rPr>
        <w:t>;</w:t>
      </w:r>
      <w:proofErr w:type="gramEnd"/>
    </w:p>
    <w:p w14:paraId="0E2DB931" w14:textId="0D7B2F03" w:rsidR="004E001A" w:rsidRPr="004E001A" w:rsidRDefault="00335960" w:rsidP="00CC28E9">
      <w:pPr>
        <w:pStyle w:val="ArticleL3"/>
        <w:widowControl w:val="0"/>
        <w:numPr>
          <w:ilvl w:val="0"/>
          <w:numId w:val="26"/>
        </w:numPr>
        <w:tabs>
          <w:tab w:val="left" w:pos="2160"/>
        </w:tabs>
        <w:spacing w:after="120"/>
        <w:contextualSpacing/>
        <w:jc w:val="both"/>
        <w:outlineLvl w:val="9"/>
      </w:pPr>
      <w:r>
        <w:rPr>
          <w:rFonts w:cs="Times New Roman"/>
        </w:rPr>
        <w:t>A</w:t>
      </w:r>
      <w:r w:rsidR="00026FCB" w:rsidRPr="00AB5ED7">
        <w:rPr>
          <w:rFonts w:cs="Times New Roman"/>
        </w:rPr>
        <w:t xml:space="preserve">ll </w:t>
      </w:r>
      <w:r w:rsidR="00026FCB" w:rsidRPr="00E940DA">
        <w:rPr>
          <w:rFonts w:cs="Times New Roman"/>
        </w:rPr>
        <w:t xml:space="preserve">regulatory approvals Buyer requires from the Minnesota Public Utilities Commission (the “MPUC”) and all other required governmental approvals and permits </w:t>
      </w:r>
      <w:r w:rsidR="00032DAC" w:rsidRPr="00E940DA">
        <w:rPr>
          <w:rFonts w:cs="Times New Roman"/>
        </w:rPr>
        <w:t>required for</w:t>
      </w:r>
      <w:r w:rsidR="00026FCB" w:rsidRPr="00E940DA">
        <w:rPr>
          <w:rFonts w:cs="Times New Roman"/>
        </w:rPr>
        <w:t xml:space="preserve"> Commencement (including</w:t>
      </w:r>
      <w:r w:rsidR="008C07CF" w:rsidRPr="00E940DA">
        <w:rPr>
          <w:rFonts w:cs="Times New Roman"/>
        </w:rPr>
        <w:t>,</w:t>
      </w:r>
      <w:r w:rsidR="00026FCB" w:rsidRPr="00E940DA">
        <w:rPr>
          <w:rFonts w:cs="Times New Roman"/>
        </w:rPr>
        <w:t xml:space="preserve"> without limitation</w:t>
      </w:r>
      <w:r w:rsidR="008C07CF" w:rsidRPr="00E940DA">
        <w:rPr>
          <w:rFonts w:cs="Times New Roman"/>
        </w:rPr>
        <w:t>,</w:t>
      </w:r>
      <w:r w:rsidR="00026FCB" w:rsidRPr="00E940DA">
        <w:rPr>
          <w:rFonts w:cs="Times New Roman"/>
        </w:rPr>
        <w:t xml:space="preserve"> the siting permit</w:t>
      </w:r>
      <w:r w:rsidR="00AB62BC" w:rsidRPr="00E940DA">
        <w:rPr>
          <w:rFonts w:cs="Times New Roman"/>
        </w:rPr>
        <w:t xml:space="preserve">; </w:t>
      </w:r>
      <w:r w:rsidR="00026FCB" w:rsidRPr="00E940DA">
        <w:rPr>
          <w:rFonts w:cs="Times New Roman"/>
        </w:rPr>
        <w:t>environmental permits</w:t>
      </w:r>
      <w:r w:rsidR="00AB62BC" w:rsidRPr="00E940DA">
        <w:rPr>
          <w:rFonts w:cs="Times New Roman"/>
        </w:rPr>
        <w:t>;</w:t>
      </w:r>
      <w:r w:rsidR="00026FCB" w:rsidRPr="00E940DA">
        <w:rPr>
          <w:rFonts w:cs="Times New Roman"/>
        </w:rPr>
        <w:t xml:space="preserve"> if applicable, FERC approvals</w:t>
      </w:r>
      <w:r w:rsidR="00AB62BC" w:rsidRPr="00E940DA">
        <w:rPr>
          <w:rFonts w:cs="Times New Roman"/>
        </w:rPr>
        <w:t>;</w:t>
      </w:r>
      <w:r w:rsidR="00026FCB" w:rsidRPr="00E940DA">
        <w:rPr>
          <w:rFonts w:cs="Times New Roman"/>
        </w:rPr>
        <w:t xml:space="preserve"> and approvals under the Hart-Scott-Rodino Antitrust Improvements Act of 1976</w:t>
      </w:r>
      <w:r w:rsidR="00026FCB" w:rsidRPr="00AB5ED7">
        <w:rPr>
          <w:rFonts w:cs="Times New Roman"/>
        </w:rPr>
        <w:t>) have been obtained in form and substance acceptable to Buyer in its sole discretion and are final and non-appealable;</w:t>
      </w:r>
    </w:p>
    <w:p w14:paraId="2883441F" w14:textId="24EE2535" w:rsidR="00EE4AC6" w:rsidRPr="00EE4AC6" w:rsidRDefault="00EE4AC6" w:rsidP="00CC28E9">
      <w:pPr>
        <w:pStyle w:val="ArticleL3"/>
        <w:widowControl w:val="0"/>
        <w:numPr>
          <w:ilvl w:val="0"/>
          <w:numId w:val="26"/>
        </w:numPr>
        <w:tabs>
          <w:tab w:val="left" w:pos="2160"/>
        </w:tabs>
        <w:spacing w:after="120"/>
        <w:contextualSpacing/>
        <w:jc w:val="both"/>
        <w:outlineLvl w:val="9"/>
      </w:pPr>
      <w:r>
        <w:t>Buyer has approved Seller’s</w:t>
      </w:r>
      <w:r w:rsidR="00AA0272">
        <w:t xml:space="preserve"> construction documentation for the Facility</w:t>
      </w:r>
      <w:r w:rsidR="005B5845">
        <w:t xml:space="preserve"> (the “EPC Contract”)</w:t>
      </w:r>
      <w:r w:rsidR="00272E92">
        <w:t xml:space="preserve">, which EPC Contract shall include prevailing wage </w:t>
      </w:r>
      <w:r w:rsidR="00144456">
        <w:t xml:space="preserve">and apprenticeship </w:t>
      </w:r>
      <w:r w:rsidR="00272E92">
        <w:t xml:space="preserve">requirements to conform with the requirements under </w:t>
      </w:r>
      <w:r w:rsidR="004D555D">
        <w:t>Section</w:t>
      </w:r>
      <w:r w:rsidR="00140DA7">
        <w:t>s 45,</w:t>
      </w:r>
      <w:r w:rsidR="004D555D">
        <w:t xml:space="preserve"> </w:t>
      </w:r>
      <w:r w:rsidR="00140DA7">
        <w:t xml:space="preserve">45Y, </w:t>
      </w:r>
      <w:r w:rsidR="004D555D">
        <w:t xml:space="preserve">48 </w:t>
      </w:r>
      <w:r w:rsidR="00140DA7">
        <w:t xml:space="preserve">and 48E </w:t>
      </w:r>
      <w:r w:rsidR="004D555D">
        <w:t>of the Code</w:t>
      </w:r>
      <w:r w:rsidR="00427E96">
        <w:t xml:space="preserve"> (as applicable)</w:t>
      </w:r>
      <w:r w:rsidR="00140DA7">
        <w:t>,</w:t>
      </w:r>
      <w:r w:rsidR="004D555D">
        <w:t xml:space="preserve"> </w:t>
      </w:r>
      <w:r w:rsidR="00140DA7">
        <w:t xml:space="preserve">the </w:t>
      </w:r>
      <w:r w:rsidR="004D555D">
        <w:t xml:space="preserve">final </w:t>
      </w:r>
      <w:r w:rsidR="00140DA7">
        <w:t xml:space="preserve">Treasury Regulations promulgated thereunder and any other applicable </w:t>
      </w:r>
      <w:proofErr w:type="gramStart"/>
      <w:r w:rsidR="00140DA7">
        <w:t>guidance</w:t>
      </w:r>
      <w:r w:rsidR="004D555D">
        <w:t>(</w:t>
      </w:r>
      <w:proofErr w:type="gramEnd"/>
      <w:r w:rsidR="004D555D">
        <w:t xml:space="preserve">the “PWA Requirements”) </w:t>
      </w:r>
      <w:r w:rsidR="00A80033">
        <w:t>and the MPUC DSES Order 20246</w:t>
      </w:r>
      <w:r w:rsidR="00D25BFE">
        <w:t>-207978-01 issued June 26, 2024</w:t>
      </w:r>
      <w:r w:rsidR="00AA0272">
        <w:t>;</w:t>
      </w:r>
      <w:r>
        <w:t xml:space="preserve"> </w:t>
      </w:r>
    </w:p>
    <w:p w14:paraId="1EB063D1" w14:textId="77777777" w:rsidR="00765377" w:rsidRDefault="00CC28E9" w:rsidP="00765377">
      <w:pPr>
        <w:pStyle w:val="ArticleL3"/>
        <w:widowControl w:val="0"/>
        <w:numPr>
          <w:ilvl w:val="0"/>
          <w:numId w:val="26"/>
        </w:numPr>
        <w:tabs>
          <w:tab w:val="left" w:pos="2160"/>
        </w:tabs>
        <w:spacing w:after="120"/>
        <w:contextualSpacing/>
        <w:jc w:val="both"/>
        <w:outlineLvl w:val="9"/>
        <w:rPr>
          <w:rFonts w:cs="Times New Roman"/>
        </w:rPr>
      </w:pPr>
      <w:r w:rsidRPr="00AD1A02">
        <w:rPr>
          <w:rFonts w:cs="Times New Roman"/>
        </w:rPr>
        <w:t xml:space="preserve">Seller has obtained all </w:t>
      </w:r>
      <w:r w:rsidR="00CF4A2E">
        <w:rPr>
          <w:rFonts w:cs="Times New Roman"/>
        </w:rPr>
        <w:t xml:space="preserve">site control and </w:t>
      </w:r>
      <w:r w:rsidRPr="00AD1A02">
        <w:rPr>
          <w:rFonts w:cs="Times New Roman"/>
        </w:rPr>
        <w:t xml:space="preserve">land </w:t>
      </w:r>
      <w:r w:rsidR="008724D3">
        <w:rPr>
          <w:rFonts w:cs="Times New Roman"/>
        </w:rPr>
        <w:t>rights</w:t>
      </w:r>
      <w:r w:rsidR="00A50D58">
        <w:rPr>
          <w:rFonts w:cs="Times New Roman"/>
        </w:rPr>
        <w:t xml:space="preserve"> for the development, construction, interconnection, operation, maintenance and decommissioning of the Facility</w:t>
      </w:r>
      <w:r w:rsidR="005109FF">
        <w:rPr>
          <w:rFonts w:cs="Times New Roman"/>
        </w:rPr>
        <w:t>,</w:t>
      </w:r>
      <w:r w:rsidRPr="00AD1A02">
        <w:rPr>
          <w:rFonts w:cs="Times New Roman"/>
        </w:rPr>
        <w:t xml:space="preserve"> including that Seller shall obtain amendments to the existing leases as needed to </w:t>
      </w:r>
      <w:r w:rsidR="00570AE2">
        <w:rPr>
          <w:rFonts w:cs="Times New Roman"/>
        </w:rPr>
        <w:t>(</w:t>
      </w:r>
      <w:proofErr w:type="spellStart"/>
      <w:r w:rsidR="00273294">
        <w:rPr>
          <w:rFonts w:cs="Times New Roman"/>
        </w:rPr>
        <w:t>i</w:t>
      </w:r>
      <w:proofErr w:type="spellEnd"/>
      <w:r w:rsidR="00570AE2">
        <w:rPr>
          <w:rFonts w:cs="Times New Roman"/>
        </w:rPr>
        <w:t xml:space="preserve">) </w:t>
      </w:r>
      <w:r w:rsidRPr="00AD1A02">
        <w:rPr>
          <w:rFonts w:cs="Times New Roman"/>
        </w:rPr>
        <w:t xml:space="preserve">ensure that the lease payment provisions and other applicable terms provide for </w:t>
      </w:r>
      <w:r w:rsidR="008552D4">
        <w:rPr>
          <w:rFonts w:cs="Times New Roman"/>
        </w:rPr>
        <w:t>future Buyer</w:t>
      </w:r>
      <w:r w:rsidRPr="00AD1A02">
        <w:rPr>
          <w:rFonts w:cs="Times New Roman"/>
        </w:rPr>
        <w:t xml:space="preserve"> ownership</w:t>
      </w:r>
      <w:r w:rsidR="008552D4">
        <w:rPr>
          <w:rFonts w:cs="Times New Roman"/>
        </w:rPr>
        <w:t xml:space="preserve"> of the Facility</w:t>
      </w:r>
      <w:r w:rsidRPr="00AD1A02">
        <w:rPr>
          <w:rFonts w:cs="Times New Roman"/>
        </w:rPr>
        <w:t>,</w:t>
      </w:r>
      <w:r w:rsidR="00E70A05">
        <w:rPr>
          <w:rFonts w:cs="Times New Roman"/>
        </w:rPr>
        <w:t xml:space="preserve"> (</w:t>
      </w:r>
      <w:r w:rsidR="00273294">
        <w:rPr>
          <w:rFonts w:cs="Times New Roman"/>
        </w:rPr>
        <w:t>ii</w:t>
      </w:r>
      <w:r w:rsidR="00E70A05">
        <w:rPr>
          <w:rFonts w:cs="Times New Roman"/>
        </w:rPr>
        <w:t>)</w:t>
      </w:r>
      <w:r w:rsidRPr="00AD1A02">
        <w:rPr>
          <w:rFonts w:cs="Times New Roman"/>
        </w:rPr>
        <w:t xml:space="preserve"> </w:t>
      </w:r>
      <w:r w:rsidR="004A2D03">
        <w:rPr>
          <w:rFonts w:cs="Times New Roman"/>
        </w:rPr>
        <w:t xml:space="preserve">ensure </w:t>
      </w:r>
      <w:r w:rsidRPr="00AD1A02">
        <w:rPr>
          <w:rFonts w:cs="Times New Roman"/>
        </w:rPr>
        <w:t xml:space="preserve">that the term of the leases is no shorter than </w:t>
      </w:r>
      <w:r w:rsidR="005B0A2D">
        <w:rPr>
          <w:rFonts w:cs="Times New Roman"/>
        </w:rPr>
        <w:t>[</w:t>
      </w:r>
      <w:r w:rsidR="005B0A2D" w:rsidRPr="005568C1">
        <w:rPr>
          <w:rFonts w:cs="Times New Roman"/>
          <w:highlight w:val="yellow"/>
        </w:rPr>
        <w:t>thirty-five</w:t>
      </w:r>
      <w:r w:rsidR="005B0A2D">
        <w:rPr>
          <w:rFonts w:cs="Times New Roman"/>
        </w:rPr>
        <w:t xml:space="preserve"> </w:t>
      </w:r>
      <w:r w:rsidR="00646A26">
        <w:rPr>
          <w:rFonts w:cs="Times New Roman"/>
        </w:rPr>
        <w:t>(</w:t>
      </w:r>
      <w:r w:rsidRPr="008724D3">
        <w:rPr>
          <w:rFonts w:cs="Times New Roman"/>
          <w:highlight w:val="yellow"/>
        </w:rPr>
        <w:t>35</w:t>
      </w:r>
      <w:r w:rsidR="00646A26">
        <w:rPr>
          <w:rFonts w:cs="Times New Roman"/>
        </w:rPr>
        <w:t>)</w:t>
      </w:r>
      <w:r w:rsidR="008724D3">
        <w:rPr>
          <w:rFonts w:cs="Times New Roman"/>
        </w:rPr>
        <w:t>]</w:t>
      </w:r>
      <w:r w:rsidRPr="00AD1A02">
        <w:rPr>
          <w:rFonts w:cs="Times New Roman"/>
        </w:rPr>
        <w:t xml:space="preserve"> years following construction of the Facility</w:t>
      </w:r>
      <w:r w:rsidR="004D555D">
        <w:rPr>
          <w:rStyle w:val="FootnoteReference"/>
          <w:rFonts w:cs="Times New Roman"/>
        </w:rPr>
        <w:footnoteReference w:id="3"/>
      </w:r>
      <w:r w:rsidR="00CF4A2E">
        <w:rPr>
          <w:rFonts w:cs="Times New Roman"/>
        </w:rPr>
        <w:t>,</w:t>
      </w:r>
      <w:r w:rsidRPr="00AD1A02">
        <w:rPr>
          <w:rFonts w:cs="Times New Roman"/>
        </w:rPr>
        <w:t xml:space="preserve"> </w:t>
      </w:r>
      <w:r w:rsidR="00D33279">
        <w:rPr>
          <w:rFonts w:cs="Times New Roman"/>
        </w:rPr>
        <w:t>(</w:t>
      </w:r>
      <w:r w:rsidR="00273294">
        <w:rPr>
          <w:rFonts w:cs="Times New Roman"/>
        </w:rPr>
        <w:t>iii</w:t>
      </w:r>
      <w:r w:rsidR="00D33279">
        <w:rPr>
          <w:rFonts w:cs="Times New Roman"/>
        </w:rPr>
        <w:t>)</w:t>
      </w:r>
      <w:r w:rsidR="00CF4A2E">
        <w:rPr>
          <w:rFonts w:cs="Times New Roman"/>
        </w:rPr>
        <w:t xml:space="preserve"> address required setback</w:t>
      </w:r>
      <w:r w:rsidRPr="00AD1A02">
        <w:rPr>
          <w:rFonts w:cs="Times New Roman"/>
        </w:rPr>
        <w:t xml:space="preserve"> </w:t>
      </w:r>
      <w:r w:rsidR="00D33279">
        <w:rPr>
          <w:rFonts w:cs="Times New Roman"/>
        </w:rPr>
        <w:t>and (</w:t>
      </w:r>
      <w:r w:rsidR="00273294">
        <w:rPr>
          <w:rFonts w:cs="Times New Roman"/>
        </w:rPr>
        <w:t>iv</w:t>
      </w:r>
      <w:r w:rsidR="00D33279">
        <w:rPr>
          <w:rFonts w:cs="Times New Roman"/>
        </w:rPr>
        <w:t xml:space="preserve">) </w:t>
      </w:r>
      <w:r w:rsidRPr="00AD1A02">
        <w:rPr>
          <w:rFonts w:cs="Times New Roman"/>
        </w:rPr>
        <w:t>address other matters reasonably required by Buyer</w:t>
      </w:r>
      <w:r w:rsidR="00CF4A2E">
        <w:rPr>
          <w:rFonts w:cs="Times New Roman"/>
        </w:rPr>
        <w:t>;</w:t>
      </w:r>
    </w:p>
    <w:p w14:paraId="41BF09D8" w14:textId="6619224F" w:rsidR="00765377" w:rsidRPr="00765377" w:rsidRDefault="00765377" w:rsidP="00765377">
      <w:pPr>
        <w:pStyle w:val="ArticleL3"/>
        <w:widowControl w:val="0"/>
        <w:numPr>
          <w:ilvl w:val="0"/>
          <w:numId w:val="26"/>
        </w:numPr>
        <w:tabs>
          <w:tab w:val="left" w:pos="2160"/>
        </w:tabs>
        <w:spacing w:after="120"/>
        <w:contextualSpacing/>
        <w:jc w:val="both"/>
        <w:outlineLvl w:val="9"/>
        <w:rPr>
          <w:rFonts w:cs="Times New Roman"/>
        </w:rPr>
      </w:pPr>
      <w:r>
        <w:t>A</w:t>
      </w:r>
      <w:r w:rsidRPr="00AD1A02">
        <w:t xml:space="preserve">ll </w:t>
      </w:r>
      <w:r>
        <w:t>p</w:t>
      </w:r>
      <w:r w:rsidRPr="00AD1A02">
        <w:t xml:space="preserve">ermits required to be obtained from any </w:t>
      </w:r>
      <w:r>
        <w:t>g</w:t>
      </w:r>
      <w:r w:rsidRPr="00AD1A02">
        <w:t xml:space="preserve">overnmental </w:t>
      </w:r>
      <w:r>
        <w:t>a</w:t>
      </w:r>
      <w:r w:rsidRPr="00AD1A02">
        <w:t xml:space="preserve">uthority to construct the Facility in compliance with </w:t>
      </w:r>
      <w:r>
        <w:t xml:space="preserve">applicable laws and good utility practice have been obtained and provided to </w:t>
      </w:r>
      <w:proofErr w:type="gramStart"/>
      <w:r>
        <w:t>Buyer;</w:t>
      </w:r>
      <w:proofErr w:type="gramEnd"/>
    </w:p>
    <w:p w14:paraId="4AEED53F" w14:textId="111650CE" w:rsidR="00CC28E9" w:rsidRPr="00BA5AA9" w:rsidRDefault="00CC28E9" w:rsidP="00CC28E9">
      <w:pPr>
        <w:pStyle w:val="ArticleL3"/>
        <w:widowControl w:val="0"/>
        <w:numPr>
          <w:ilvl w:val="0"/>
          <w:numId w:val="26"/>
        </w:numPr>
        <w:tabs>
          <w:tab w:val="left" w:pos="2160"/>
        </w:tabs>
        <w:spacing w:after="120"/>
        <w:contextualSpacing/>
        <w:jc w:val="both"/>
        <w:outlineLvl w:val="9"/>
      </w:pPr>
      <w:r w:rsidRPr="00AD1A02">
        <w:rPr>
          <w:rFonts w:cs="Times New Roman"/>
        </w:rPr>
        <w:t xml:space="preserve">Seller has obtained and delivered to Buyer title reports and title insurance commitments and completed any curative work required by </w:t>
      </w:r>
      <w:proofErr w:type="gramStart"/>
      <w:r w:rsidRPr="00AD1A02">
        <w:rPr>
          <w:rFonts w:cs="Times New Roman"/>
        </w:rPr>
        <w:t>Buyer</w:t>
      </w:r>
      <w:r w:rsidRPr="00BA5AA9">
        <w:rPr>
          <w:rFonts w:cs="Times New Roman"/>
        </w:rPr>
        <w:t>;</w:t>
      </w:r>
      <w:proofErr w:type="gramEnd"/>
    </w:p>
    <w:p w14:paraId="278EBD2C" w14:textId="539C4902" w:rsidR="00CC28E9" w:rsidRPr="00BA5AA9" w:rsidRDefault="00CC28E9" w:rsidP="00B568B4">
      <w:pPr>
        <w:pStyle w:val="ArticleL3"/>
        <w:widowControl w:val="0"/>
        <w:numPr>
          <w:ilvl w:val="0"/>
          <w:numId w:val="26"/>
        </w:numPr>
        <w:tabs>
          <w:tab w:val="left" w:pos="2160"/>
        </w:tabs>
        <w:spacing w:after="120"/>
        <w:contextualSpacing/>
        <w:jc w:val="both"/>
        <w:outlineLvl w:val="9"/>
      </w:pPr>
      <w:r w:rsidRPr="00BA5AA9">
        <w:rPr>
          <w:rFonts w:cs="Times New Roman"/>
        </w:rPr>
        <w:t xml:space="preserve">Seller has </w:t>
      </w:r>
      <w:r w:rsidR="00E05B15">
        <w:rPr>
          <w:rFonts w:cs="Times New Roman"/>
        </w:rPr>
        <w:t>(</w:t>
      </w:r>
      <w:proofErr w:type="spellStart"/>
      <w:r w:rsidR="00273294">
        <w:rPr>
          <w:rFonts w:cs="Times New Roman"/>
        </w:rPr>
        <w:t>i</w:t>
      </w:r>
      <w:proofErr w:type="spellEnd"/>
      <w:r w:rsidR="00273294">
        <w:rPr>
          <w:rFonts w:cs="Times New Roman"/>
        </w:rPr>
        <w:t xml:space="preserve">) </w:t>
      </w:r>
      <w:r w:rsidR="00336299">
        <w:rPr>
          <w:rFonts w:cs="Times New Roman"/>
        </w:rPr>
        <w:t>executed major procurement contracts for the Facility</w:t>
      </w:r>
      <w:r w:rsidR="00273294">
        <w:rPr>
          <w:rFonts w:cs="Times New Roman"/>
        </w:rPr>
        <w:t xml:space="preserve">; (ii) </w:t>
      </w:r>
      <w:r w:rsidR="00032DAC">
        <w:rPr>
          <w:rFonts w:cs="Times New Roman"/>
        </w:rPr>
        <w:t xml:space="preserve">obtained </w:t>
      </w:r>
      <w:r w:rsidRPr="00AD1A02">
        <w:rPr>
          <w:rFonts w:cs="Times New Roman"/>
        </w:rPr>
        <w:t>letters of credit and guarantees</w:t>
      </w:r>
      <w:r w:rsidR="00273294">
        <w:rPr>
          <w:rFonts w:cs="Times New Roman"/>
        </w:rPr>
        <w:t>; (iii)</w:t>
      </w:r>
      <w:r w:rsidR="00B568B4">
        <w:rPr>
          <w:rFonts w:cs="Times New Roman"/>
        </w:rPr>
        <w:t xml:space="preserve"> obtained</w:t>
      </w:r>
      <w:r w:rsidRPr="00AD1A02">
        <w:rPr>
          <w:rFonts w:cs="Times New Roman"/>
        </w:rPr>
        <w:t xml:space="preserve"> all</w:t>
      </w:r>
      <w:r w:rsidR="004B77FD">
        <w:rPr>
          <w:rFonts w:cs="Times New Roman"/>
        </w:rPr>
        <w:t xml:space="preserve"> draft and final</w:t>
      </w:r>
      <w:r w:rsidRPr="00AD1A02">
        <w:rPr>
          <w:rFonts w:cs="Times New Roman"/>
        </w:rPr>
        <w:t xml:space="preserve"> third-party reports and studies</w:t>
      </w:r>
      <w:r w:rsidR="00E83D94">
        <w:rPr>
          <w:rFonts w:cs="Times New Roman"/>
        </w:rPr>
        <w:t xml:space="preserve"> needed for Commencement</w:t>
      </w:r>
      <w:r w:rsidRPr="00AD1A02">
        <w:rPr>
          <w:rFonts w:cs="Times New Roman"/>
        </w:rPr>
        <w:t xml:space="preserve"> (including</w:t>
      </w:r>
      <w:r w:rsidR="0004298F">
        <w:rPr>
          <w:rFonts w:cs="Times New Roman"/>
        </w:rPr>
        <w:t>,</w:t>
      </w:r>
      <w:r w:rsidRPr="00AD1A02">
        <w:rPr>
          <w:rFonts w:cs="Times New Roman"/>
        </w:rPr>
        <w:t xml:space="preserve"> without limitation</w:t>
      </w:r>
      <w:r w:rsidR="0004298F">
        <w:rPr>
          <w:rFonts w:cs="Times New Roman"/>
        </w:rPr>
        <w:t>,</w:t>
      </w:r>
      <w:r w:rsidRPr="00AD1A02">
        <w:rPr>
          <w:rFonts w:cs="Times New Roman"/>
        </w:rPr>
        <w:t xml:space="preserve"> those relating to wildlife, environmental, geotechnical, archaeological, noise impact, solar resources, engineering and</w:t>
      </w:r>
      <w:r w:rsidR="00A65CD1">
        <w:rPr>
          <w:rFonts w:cs="Times New Roman"/>
        </w:rPr>
        <w:t xml:space="preserve"> </w:t>
      </w:r>
      <w:r w:rsidRPr="00AD1A02">
        <w:rPr>
          <w:rFonts w:cs="Times New Roman"/>
        </w:rPr>
        <w:t>cost segregation) and related reliance letters</w:t>
      </w:r>
      <w:r w:rsidR="00273294">
        <w:rPr>
          <w:rFonts w:cs="Times New Roman"/>
        </w:rPr>
        <w:t>;</w:t>
      </w:r>
      <w:r w:rsidR="00273294" w:rsidRPr="00AD1A02">
        <w:rPr>
          <w:rFonts w:cs="Times New Roman"/>
        </w:rPr>
        <w:t xml:space="preserve"> </w:t>
      </w:r>
      <w:r w:rsidR="00273294">
        <w:rPr>
          <w:rFonts w:cs="Times New Roman"/>
        </w:rPr>
        <w:t xml:space="preserve">(iv) </w:t>
      </w:r>
      <w:r w:rsidR="00B568B4">
        <w:rPr>
          <w:rFonts w:cs="Times New Roman"/>
        </w:rPr>
        <w:t>obtained</w:t>
      </w:r>
      <w:r w:rsidRPr="00AD1A02">
        <w:rPr>
          <w:rFonts w:cs="Times New Roman"/>
        </w:rPr>
        <w:t xml:space="preserve"> all required third-party estoppels (including with respect to each lease and other land contracts)</w:t>
      </w:r>
      <w:r w:rsidR="00273294">
        <w:rPr>
          <w:rFonts w:cs="Times New Roman"/>
        </w:rPr>
        <w:t>; (v)</w:t>
      </w:r>
      <w:r w:rsidRPr="00AD1A02">
        <w:rPr>
          <w:rFonts w:cs="Times New Roman"/>
        </w:rPr>
        <w:t xml:space="preserve"> </w:t>
      </w:r>
      <w:r w:rsidR="00273294">
        <w:rPr>
          <w:rFonts w:cs="Times New Roman"/>
        </w:rPr>
        <w:t>obtained</w:t>
      </w:r>
      <w:r w:rsidR="00B568B4">
        <w:rPr>
          <w:rFonts w:cs="Times New Roman"/>
        </w:rPr>
        <w:t xml:space="preserve"> </w:t>
      </w:r>
      <w:r w:rsidR="00032DAC">
        <w:rPr>
          <w:rFonts w:cs="Times New Roman"/>
        </w:rPr>
        <w:t xml:space="preserve">all required </w:t>
      </w:r>
      <w:r w:rsidRPr="00AD1A02">
        <w:rPr>
          <w:rFonts w:cs="Times New Roman"/>
        </w:rPr>
        <w:t xml:space="preserve">third-party consents; </w:t>
      </w:r>
      <w:r w:rsidR="004E001A">
        <w:rPr>
          <w:rFonts w:cs="Times New Roman"/>
        </w:rPr>
        <w:t>and,</w:t>
      </w:r>
    </w:p>
    <w:p w14:paraId="29FC1069" w14:textId="3CF253B6" w:rsidR="00CC28E9" w:rsidRDefault="00CC28E9" w:rsidP="00CC28E9">
      <w:pPr>
        <w:pStyle w:val="ArticleL3"/>
        <w:widowControl w:val="0"/>
        <w:numPr>
          <w:ilvl w:val="0"/>
          <w:numId w:val="26"/>
        </w:numPr>
        <w:tabs>
          <w:tab w:val="left" w:pos="2160"/>
        </w:tabs>
        <w:spacing w:after="120"/>
        <w:contextualSpacing/>
        <w:jc w:val="both"/>
        <w:outlineLvl w:val="9"/>
        <w:rPr>
          <w:rFonts w:cs="Times New Roman"/>
        </w:rPr>
      </w:pPr>
      <w:r w:rsidRPr="00AD1A02">
        <w:rPr>
          <w:rFonts w:cs="Times New Roman"/>
        </w:rPr>
        <w:lastRenderedPageBreak/>
        <w:t>Seller has secured interconnection rights for the Facility and obtained an effective interconnection agreement for the Facility</w:t>
      </w:r>
      <w:r w:rsidR="004813DF">
        <w:rPr>
          <w:rFonts w:cs="Times New Roman"/>
        </w:rPr>
        <w:t xml:space="preserve"> (“Interconnection Agreement”)</w:t>
      </w:r>
      <w:r w:rsidRPr="00AD1A02">
        <w:rPr>
          <w:rFonts w:cs="Times New Roman"/>
        </w:rPr>
        <w:t xml:space="preserve"> acceptable to Buyer</w:t>
      </w:r>
      <w:r w:rsidR="004E001A">
        <w:rPr>
          <w:rFonts w:cs="Times New Roman"/>
        </w:rPr>
        <w:t>.</w:t>
      </w:r>
    </w:p>
    <w:p w14:paraId="3A31696D" w14:textId="77777777" w:rsidR="004E001A" w:rsidRDefault="004E001A" w:rsidP="004E001A">
      <w:pPr>
        <w:pStyle w:val="ArticleL3"/>
        <w:widowControl w:val="0"/>
        <w:numPr>
          <w:ilvl w:val="0"/>
          <w:numId w:val="0"/>
        </w:numPr>
        <w:tabs>
          <w:tab w:val="left" w:pos="2160"/>
        </w:tabs>
        <w:spacing w:after="120"/>
        <w:contextualSpacing/>
        <w:jc w:val="both"/>
        <w:outlineLvl w:val="9"/>
        <w:rPr>
          <w:rFonts w:cs="Times New Roman"/>
        </w:rPr>
      </w:pPr>
    </w:p>
    <w:p w14:paraId="17AF6E20" w14:textId="611BE3D7" w:rsidR="00765377" w:rsidRDefault="00CC28E9" w:rsidP="00765377">
      <w:pPr>
        <w:pStyle w:val="ArticleL3"/>
        <w:widowControl w:val="0"/>
        <w:numPr>
          <w:ilvl w:val="0"/>
          <w:numId w:val="0"/>
        </w:numPr>
        <w:tabs>
          <w:tab w:val="left" w:pos="2160"/>
        </w:tabs>
        <w:spacing w:after="120"/>
        <w:contextualSpacing/>
        <w:jc w:val="both"/>
        <w:outlineLvl w:val="9"/>
        <w:rPr>
          <w:rFonts w:cs="Times New Roman"/>
        </w:rPr>
      </w:pPr>
      <w:r w:rsidRPr="00BA5AA9">
        <w:rPr>
          <w:rFonts w:cs="Times New Roman"/>
        </w:rPr>
        <w:t>Seller will provide Buyer with evidence that the Commencement Date CPs have been satisfied and Buyer shall have a stated period to object or agree whether the Commencement Date CPs have been satisfied.</w:t>
      </w:r>
    </w:p>
    <w:p w14:paraId="42D331E2" w14:textId="7D5E3368" w:rsidR="00765377" w:rsidRPr="00765377" w:rsidRDefault="00765377" w:rsidP="00FE11D0">
      <w:pPr>
        <w:pStyle w:val="BodyText"/>
        <w:ind w:left="0" w:firstLine="720"/>
        <w:rPr>
          <w:i/>
          <w:iCs/>
          <w:u w:val="single"/>
        </w:rPr>
      </w:pPr>
      <w:r>
        <w:rPr>
          <w:i/>
          <w:iCs/>
          <w:u w:val="single"/>
        </w:rPr>
        <w:t>Closing Date Payment</w:t>
      </w:r>
    </w:p>
    <w:p w14:paraId="53B9D4D4" w14:textId="73EDCA74" w:rsidR="005F1E90" w:rsidRDefault="00C568C4" w:rsidP="00BA5AA9">
      <w:pPr>
        <w:spacing w:before="120" w:after="120"/>
        <w:jc w:val="both"/>
        <w:rPr>
          <w:sz w:val="24"/>
          <w:szCs w:val="24"/>
        </w:rPr>
      </w:pPr>
      <w:bookmarkStart w:id="0" w:name="_Hlk187065732"/>
      <w:r>
        <w:rPr>
          <w:sz w:val="24"/>
          <w:szCs w:val="24"/>
        </w:rPr>
        <w:t xml:space="preserve">The second installment </w:t>
      </w:r>
      <w:r w:rsidR="003F6201">
        <w:rPr>
          <w:sz w:val="24"/>
          <w:szCs w:val="24"/>
        </w:rPr>
        <w:t xml:space="preserve">payment </w:t>
      </w:r>
      <w:r>
        <w:rPr>
          <w:sz w:val="24"/>
          <w:szCs w:val="24"/>
        </w:rPr>
        <w:t>will be made</w:t>
      </w:r>
      <w:r w:rsidR="0045549E">
        <w:rPr>
          <w:sz w:val="24"/>
          <w:szCs w:val="24"/>
        </w:rPr>
        <w:t xml:space="preserve"> upon the</w:t>
      </w:r>
      <w:r w:rsidR="00765377">
        <w:rPr>
          <w:sz w:val="24"/>
          <w:szCs w:val="24"/>
        </w:rPr>
        <w:t xml:space="preserve"> transfer of Project interests/assets to Buyer, subject to the “Buyer and Seller Closing Conditions” outlined herein and the “Closing CPs” set forth below (the</w:t>
      </w:r>
      <w:r w:rsidR="0045549E">
        <w:rPr>
          <w:sz w:val="24"/>
          <w:szCs w:val="24"/>
        </w:rPr>
        <w:t xml:space="preserve"> “Closing Date”</w:t>
      </w:r>
      <w:r w:rsidR="00765377">
        <w:rPr>
          <w:sz w:val="24"/>
          <w:szCs w:val="24"/>
        </w:rPr>
        <w:t xml:space="preserve">). The Closing Date </w:t>
      </w:r>
      <w:r w:rsidR="0045549E">
        <w:rPr>
          <w:sz w:val="24"/>
          <w:szCs w:val="24"/>
        </w:rPr>
        <w:t>shall</w:t>
      </w:r>
      <w:r w:rsidR="00765377">
        <w:rPr>
          <w:sz w:val="24"/>
          <w:szCs w:val="24"/>
        </w:rPr>
        <w:t xml:space="preserve"> occur</w:t>
      </w:r>
      <w:r w:rsidR="0045549E">
        <w:rPr>
          <w:sz w:val="24"/>
          <w:szCs w:val="24"/>
        </w:rPr>
        <w:t xml:space="preserve"> within </w:t>
      </w:r>
      <w:r w:rsidR="006E7128">
        <w:rPr>
          <w:sz w:val="24"/>
          <w:szCs w:val="24"/>
        </w:rPr>
        <w:t>[[</w:t>
      </w:r>
      <w:r w:rsidR="0045549E">
        <w:rPr>
          <w:sz w:val="24"/>
          <w:szCs w:val="24"/>
        </w:rPr>
        <w:t>fifteen</w:t>
      </w:r>
      <w:r w:rsidR="006E7128">
        <w:rPr>
          <w:sz w:val="24"/>
          <w:szCs w:val="24"/>
        </w:rPr>
        <w:t>]</w:t>
      </w:r>
      <w:r w:rsidR="0045549E">
        <w:rPr>
          <w:sz w:val="24"/>
          <w:szCs w:val="24"/>
        </w:rPr>
        <w:t xml:space="preserve"> [15]</w:t>
      </w:r>
      <w:r w:rsidR="006E7128">
        <w:rPr>
          <w:sz w:val="24"/>
          <w:szCs w:val="24"/>
        </w:rPr>
        <w:t>]</w:t>
      </w:r>
      <w:r w:rsidR="0045549E">
        <w:rPr>
          <w:sz w:val="24"/>
          <w:szCs w:val="24"/>
        </w:rPr>
        <w:t xml:space="preserve"> days </w:t>
      </w:r>
      <w:r w:rsidR="003143A8">
        <w:rPr>
          <w:sz w:val="24"/>
          <w:szCs w:val="24"/>
        </w:rPr>
        <w:t>after</w:t>
      </w:r>
      <w:r w:rsidR="0045549E">
        <w:rPr>
          <w:sz w:val="24"/>
          <w:szCs w:val="24"/>
        </w:rPr>
        <w:t xml:space="preserve"> </w:t>
      </w:r>
      <w:r w:rsidR="00032DAC">
        <w:rPr>
          <w:sz w:val="24"/>
          <w:szCs w:val="24"/>
        </w:rPr>
        <w:t>the</w:t>
      </w:r>
      <w:r w:rsidR="003F6201">
        <w:rPr>
          <w:sz w:val="24"/>
          <w:szCs w:val="24"/>
        </w:rPr>
        <w:t xml:space="preserve"> </w:t>
      </w:r>
      <w:r w:rsidR="00765377">
        <w:rPr>
          <w:sz w:val="24"/>
          <w:szCs w:val="24"/>
        </w:rPr>
        <w:t>date</w:t>
      </w:r>
      <w:r w:rsidR="005F1E90" w:rsidRPr="00BA5AA9">
        <w:rPr>
          <w:sz w:val="24"/>
          <w:szCs w:val="24"/>
        </w:rPr>
        <w:t xml:space="preserve"> Seller has achieved</w:t>
      </w:r>
      <w:r w:rsidR="005F1E90">
        <w:rPr>
          <w:sz w:val="24"/>
          <w:szCs w:val="24"/>
        </w:rPr>
        <w:t xml:space="preserve"> </w:t>
      </w:r>
      <w:proofErr w:type="gramStart"/>
      <w:r w:rsidR="005F1E90">
        <w:rPr>
          <w:sz w:val="24"/>
          <w:szCs w:val="24"/>
        </w:rPr>
        <w:t xml:space="preserve">the  </w:t>
      </w:r>
      <w:r w:rsidR="00765377">
        <w:rPr>
          <w:sz w:val="24"/>
          <w:szCs w:val="24"/>
        </w:rPr>
        <w:t>Closing</w:t>
      </w:r>
      <w:proofErr w:type="gramEnd"/>
      <w:r w:rsidR="00765377">
        <w:rPr>
          <w:sz w:val="24"/>
          <w:szCs w:val="24"/>
        </w:rPr>
        <w:t xml:space="preserve"> CPs</w:t>
      </w:r>
      <w:r w:rsidR="005F1E90">
        <w:rPr>
          <w:sz w:val="24"/>
          <w:szCs w:val="24"/>
        </w:rPr>
        <w:t xml:space="preserve"> as set forth in more detail below </w:t>
      </w:r>
      <w:r w:rsidR="004F7278">
        <w:rPr>
          <w:sz w:val="24"/>
          <w:szCs w:val="24"/>
        </w:rPr>
        <w:t>(</w:t>
      </w:r>
      <w:r w:rsidR="00130B1A">
        <w:rPr>
          <w:sz w:val="24"/>
          <w:szCs w:val="24"/>
        </w:rPr>
        <w:t>however no later than t</w:t>
      </w:r>
      <w:r w:rsidR="00F94B7F">
        <w:rPr>
          <w:sz w:val="24"/>
          <w:szCs w:val="24"/>
        </w:rPr>
        <w:t>en days following the Mechanical Completion Date,</w:t>
      </w:r>
      <w:r w:rsidR="00765377">
        <w:rPr>
          <w:sz w:val="24"/>
          <w:szCs w:val="24"/>
        </w:rPr>
        <w:t xml:space="preserve"> which condition will be</w:t>
      </w:r>
      <w:r w:rsidR="00F94B7F">
        <w:rPr>
          <w:sz w:val="24"/>
          <w:szCs w:val="24"/>
        </w:rPr>
        <w:t xml:space="preserve"> subject to delay liquidated damages.</w:t>
      </w:r>
      <w:r w:rsidR="00765377">
        <w:rPr>
          <w:sz w:val="24"/>
          <w:szCs w:val="24"/>
        </w:rPr>
        <w:t>)</w:t>
      </w:r>
      <w:r w:rsidR="00765377" w:rsidRPr="00765377">
        <w:rPr>
          <w:sz w:val="24"/>
          <w:szCs w:val="24"/>
        </w:rPr>
        <w:t xml:space="preserve"> </w:t>
      </w:r>
      <w:bookmarkStart w:id="1" w:name="_Hlk187067932"/>
      <w:r w:rsidR="00765377" w:rsidRPr="00334D0E">
        <w:rPr>
          <w:sz w:val="24"/>
          <w:szCs w:val="24"/>
        </w:rPr>
        <w:t>In no case will the</w:t>
      </w:r>
      <w:r w:rsidR="00765377">
        <w:rPr>
          <w:sz w:val="24"/>
          <w:szCs w:val="24"/>
        </w:rPr>
        <w:t xml:space="preserve"> sum</w:t>
      </w:r>
      <w:r w:rsidR="00765377" w:rsidRPr="00334D0E">
        <w:rPr>
          <w:sz w:val="24"/>
          <w:szCs w:val="24"/>
        </w:rPr>
        <w:t xml:space="preserve"> of the </w:t>
      </w:r>
      <w:r w:rsidR="00765377">
        <w:rPr>
          <w:sz w:val="24"/>
          <w:szCs w:val="24"/>
        </w:rPr>
        <w:t>payments</w:t>
      </w:r>
      <w:r w:rsidR="00765377" w:rsidRPr="00334D0E">
        <w:rPr>
          <w:sz w:val="24"/>
          <w:szCs w:val="24"/>
        </w:rPr>
        <w:t xml:space="preserve"> </w:t>
      </w:r>
      <w:r w:rsidR="00765377">
        <w:rPr>
          <w:sz w:val="24"/>
          <w:szCs w:val="24"/>
        </w:rPr>
        <w:t>made</w:t>
      </w:r>
      <w:r w:rsidR="00765377" w:rsidRPr="00334D0E">
        <w:rPr>
          <w:sz w:val="24"/>
          <w:szCs w:val="24"/>
        </w:rPr>
        <w:t xml:space="preserve"> </w:t>
      </w:r>
      <w:r w:rsidR="00765377">
        <w:rPr>
          <w:sz w:val="24"/>
          <w:szCs w:val="24"/>
        </w:rPr>
        <w:t>on the Commencement Date and the Closing Date</w:t>
      </w:r>
      <w:r w:rsidR="00765377" w:rsidRPr="00334D0E">
        <w:rPr>
          <w:sz w:val="24"/>
          <w:szCs w:val="24"/>
        </w:rPr>
        <w:t xml:space="preserve"> exceed </w:t>
      </w:r>
      <w:r w:rsidR="00765377">
        <w:rPr>
          <w:sz w:val="24"/>
          <w:szCs w:val="24"/>
        </w:rPr>
        <w:t>20%</w:t>
      </w:r>
      <w:r w:rsidR="00765377" w:rsidRPr="00334D0E">
        <w:rPr>
          <w:sz w:val="24"/>
          <w:szCs w:val="24"/>
        </w:rPr>
        <w:t xml:space="preserve"> of the total Purchase Price</w:t>
      </w:r>
      <w:r w:rsidR="00765377">
        <w:rPr>
          <w:sz w:val="24"/>
          <w:szCs w:val="24"/>
        </w:rPr>
        <w:t xml:space="preserve">.  </w:t>
      </w:r>
      <w:bookmarkEnd w:id="1"/>
    </w:p>
    <w:p w14:paraId="6E4766A8" w14:textId="5505B52F" w:rsidR="00AE3369" w:rsidRDefault="00AE3369" w:rsidP="00BA5AA9">
      <w:pPr>
        <w:spacing w:before="120" w:after="120"/>
        <w:jc w:val="both"/>
        <w:rPr>
          <w:sz w:val="24"/>
          <w:szCs w:val="24"/>
        </w:rPr>
      </w:pPr>
      <w:r w:rsidRPr="00BA5AA9">
        <w:rPr>
          <w:sz w:val="24"/>
          <w:szCs w:val="24"/>
        </w:rPr>
        <w:t>The</w:t>
      </w:r>
      <w:r>
        <w:rPr>
          <w:sz w:val="24"/>
          <w:szCs w:val="24"/>
        </w:rPr>
        <w:t xml:space="preserve"> Definitive</w:t>
      </w:r>
      <w:r w:rsidRPr="00BA5AA9">
        <w:rPr>
          <w:sz w:val="24"/>
          <w:szCs w:val="24"/>
        </w:rPr>
        <w:t xml:space="preserve"> Agreement</w:t>
      </w:r>
      <w:r>
        <w:rPr>
          <w:sz w:val="24"/>
          <w:szCs w:val="24"/>
        </w:rPr>
        <w:t>s</w:t>
      </w:r>
      <w:r w:rsidRPr="00BA5AA9">
        <w:rPr>
          <w:sz w:val="24"/>
          <w:szCs w:val="24"/>
        </w:rPr>
        <w:t xml:space="preserve"> shall provide for the satisfaction, on or prior to the </w:t>
      </w:r>
      <w:r w:rsidR="00765377">
        <w:rPr>
          <w:sz w:val="24"/>
          <w:szCs w:val="24"/>
        </w:rPr>
        <w:t>Closing</w:t>
      </w:r>
      <w:r w:rsidR="00A1401C">
        <w:rPr>
          <w:sz w:val="24"/>
          <w:szCs w:val="24"/>
        </w:rPr>
        <w:t xml:space="preserve"> Date</w:t>
      </w:r>
      <w:r w:rsidRPr="00BA5AA9">
        <w:rPr>
          <w:sz w:val="24"/>
          <w:szCs w:val="24"/>
        </w:rPr>
        <w:t xml:space="preserve"> and in each case in form and substance acceptable to Buyer and at Seller’s sole cost (except for costs of obtaining Buyer’s regulatory approvals, which shall be at Buyer’s sole cost) certain conditions precedent (</w:t>
      </w:r>
      <w:r w:rsidR="00A1401C">
        <w:rPr>
          <w:sz w:val="24"/>
          <w:szCs w:val="24"/>
        </w:rPr>
        <w:t>“</w:t>
      </w:r>
      <w:r w:rsidR="00765377">
        <w:rPr>
          <w:sz w:val="24"/>
          <w:szCs w:val="24"/>
        </w:rPr>
        <w:t>Closing</w:t>
      </w:r>
      <w:r w:rsidRPr="006432A1">
        <w:rPr>
          <w:sz w:val="24"/>
          <w:szCs w:val="24"/>
        </w:rPr>
        <w:t xml:space="preserve"> CPs</w:t>
      </w:r>
      <w:r w:rsidRPr="00BA5AA9">
        <w:rPr>
          <w:sz w:val="24"/>
          <w:szCs w:val="24"/>
        </w:rPr>
        <w:t>”).</w:t>
      </w:r>
    </w:p>
    <w:p w14:paraId="367DEE5D" w14:textId="5704C229" w:rsidR="00910BC1" w:rsidRPr="00BA5AA9" w:rsidRDefault="00B35A31" w:rsidP="00BA5AA9">
      <w:pPr>
        <w:spacing w:before="120" w:after="120"/>
        <w:jc w:val="both"/>
        <w:rPr>
          <w:sz w:val="24"/>
          <w:szCs w:val="24"/>
        </w:rPr>
      </w:pPr>
      <w:r>
        <w:rPr>
          <w:sz w:val="24"/>
          <w:szCs w:val="24"/>
        </w:rPr>
        <w:t xml:space="preserve">The </w:t>
      </w:r>
      <w:r w:rsidR="00765377">
        <w:rPr>
          <w:sz w:val="24"/>
          <w:szCs w:val="24"/>
        </w:rPr>
        <w:t>Closing</w:t>
      </w:r>
      <w:r>
        <w:rPr>
          <w:sz w:val="24"/>
          <w:szCs w:val="24"/>
        </w:rPr>
        <w:t xml:space="preserve"> </w:t>
      </w:r>
      <w:r w:rsidR="00A1401C">
        <w:rPr>
          <w:sz w:val="24"/>
          <w:szCs w:val="24"/>
        </w:rPr>
        <w:t>CPs</w:t>
      </w:r>
      <w:r w:rsidRPr="00BA5AA9">
        <w:rPr>
          <w:sz w:val="24"/>
          <w:szCs w:val="24"/>
        </w:rPr>
        <w:t xml:space="preserve"> shall include the following</w:t>
      </w:r>
      <w:r w:rsidR="00FC46E1">
        <w:rPr>
          <w:sz w:val="24"/>
          <w:szCs w:val="24"/>
        </w:rPr>
        <w:t>,</w:t>
      </w:r>
      <w:r w:rsidRPr="00BA5AA9">
        <w:rPr>
          <w:sz w:val="24"/>
          <w:szCs w:val="24"/>
        </w:rPr>
        <w:t xml:space="preserve"> without limitation</w:t>
      </w:r>
      <w:r w:rsidR="00FC46E1">
        <w:rPr>
          <w:sz w:val="24"/>
          <w:szCs w:val="24"/>
        </w:rPr>
        <w:t>,</w:t>
      </w:r>
      <w:r w:rsidRPr="009B0DD1">
        <w:rPr>
          <w:sz w:val="24"/>
          <w:szCs w:val="24"/>
        </w:rPr>
        <w:t xml:space="preserve"> a</w:t>
      </w:r>
      <w:r>
        <w:rPr>
          <w:sz w:val="24"/>
          <w:szCs w:val="24"/>
        </w:rPr>
        <w:t>s certified by a</w:t>
      </w:r>
      <w:r w:rsidRPr="009B0DD1">
        <w:rPr>
          <w:sz w:val="24"/>
          <w:szCs w:val="24"/>
        </w:rPr>
        <w:t xml:space="preserve">n </w:t>
      </w:r>
      <w:r w:rsidRPr="00BA5AA9">
        <w:rPr>
          <w:sz w:val="24"/>
          <w:szCs w:val="24"/>
        </w:rPr>
        <w:t xml:space="preserve">officer of Seller who has knowledge of the </w:t>
      </w:r>
      <w:r>
        <w:rPr>
          <w:sz w:val="24"/>
          <w:szCs w:val="24"/>
        </w:rPr>
        <w:t>Facility:</w:t>
      </w:r>
    </w:p>
    <w:bookmarkEnd w:id="0"/>
    <w:p w14:paraId="7E5B3862" w14:textId="3FD196D4" w:rsidR="005B5845" w:rsidRPr="005B5845" w:rsidRDefault="005B5845" w:rsidP="00BA5AA9">
      <w:pPr>
        <w:pStyle w:val="ArticleL3"/>
        <w:widowControl w:val="0"/>
        <w:numPr>
          <w:ilvl w:val="0"/>
          <w:numId w:val="26"/>
        </w:numPr>
        <w:tabs>
          <w:tab w:val="left" w:pos="2160"/>
        </w:tabs>
        <w:spacing w:after="120"/>
        <w:contextualSpacing/>
        <w:jc w:val="both"/>
        <w:outlineLvl w:val="9"/>
      </w:pPr>
      <w:r>
        <w:t>“</w:t>
      </w:r>
      <w:r w:rsidR="00F34F6B">
        <w:t>Mechanical Completion</w:t>
      </w:r>
      <w:r>
        <w:t>” or its equivalent has occurred under the EPC Contract</w:t>
      </w:r>
      <w:r w:rsidR="00765377">
        <w:t xml:space="preserve"> (the </w:t>
      </w:r>
      <w:r w:rsidR="00465222">
        <w:t>“</w:t>
      </w:r>
      <w:r w:rsidR="00765377">
        <w:t>Mechanical Completion Date”</w:t>
      </w:r>
      <w:proofErr w:type="gramStart"/>
      <w:r w:rsidR="00765377">
        <w:t>)</w:t>
      </w:r>
      <w:r w:rsidR="00E34672">
        <w:t>;</w:t>
      </w:r>
      <w:proofErr w:type="gramEnd"/>
    </w:p>
    <w:p w14:paraId="47E9A7F8" w14:textId="5AFE9368" w:rsidR="00820DBB" w:rsidRPr="00E125A2" w:rsidRDefault="00910BC1" w:rsidP="00E125A2">
      <w:pPr>
        <w:pStyle w:val="ArticleL3"/>
        <w:widowControl w:val="0"/>
        <w:numPr>
          <w:ilvl w:val="0"/>
          <w:numId w:val="26"/>
        </w:numPr>
        <w:tabs>
          <w:tab w:val="left" w:pos="2160"/>
        </w:tabs>
        <w:spacing w:after="120"/>
        <w:contextualSpacing/>
        <w:jc w:val="both"/>
        <w:outlineLvl w:val="9"/>
        <w:rPr>
          <w:rFonts w:cs="Times New Roman"/>
        </w:rPr>
      </w:pPr>
      <w:r w:rsidRPr="00AD1A02">
        <w:rPr>
          <w:rFonts w:cs="Times New Roman"/>
        </w:rPr>
        <w:t xml:space="preserve">Seller is in compliance with </w:t>
      </w:r>
      <w:r w:rsidR="00233898">
        <w:rPr>
          <w:rFonts w:cs="Times New Roman"/>
        </w:rPr>
        <w:t>all material Facility contracts, including but not limited to the</w:t>
      </w:r>
      <w:r w:rsidR="00616A93">
        <w:rPr>
          <w:rFonts w:cs="Times New Roman"/>
        </w:rPr>
        <w:t xml:space="preserve"> EPC</w:t>
      </w:r>
      <w:r w:rsidRPr="00AD1A02">
        <w:rPr>
          <w:rFonts w:cs="Times New Roman"/>
        </w:rPr>
        <w:t xml:space="preserve"> Contract</w:t>
      </w:r>
      <w:r w:rsidR="00233898">
        <w:rPr>
          <w:rFonts w:cs="Times New Roman"/>
        </w:rPr>
        <w:t xml:space="preserve"> and the </w:t>
      </w:r>
      <w:r w:rsidR="004813DF">
        <w:rPr>
          <w:rFonts w:cs="Times New Roman"/>
        </w:rPr>
        <w:t>I</w:t>
      </w:r>
      <w:r w:rsidR="00233898">
        <w:rPr>
          <w:rFonts w:cs="Times New Roman"/>
        </w:rPr>
        <w:t xml:space="preserve">nterconnection </w:t>
      </w:r>
      <w:r w:rsidR="004813DF">
        <w:rPr>
          <w:rFonts w:cs="Times New Roman"/>
        </w:rPr>
        <w:t>A</w:t>
      </w:r>
      <w:r w:rsidR="00233898">
        <w:rPr>
          <w:rFonts w:cs="Times New Roman"/>
        </w:rPr>
        <w:t>greement</w:t>
      </w:r>
      <w:r w:rsidRPr="00AD1A02">
        <w:rPr>
          <w:rFonts w:cs="Times New Roman"/>
        </w:rPr>
        <w:t>,</w:t>
      </w:r>
      <w:r w:rsidR="00306059">
        <w:rPr>
          <w:rFonts w:cs="Times New Roman"/>
        </w:rPr>
        <w:t xml:space="preserve"> and</w:t>
      </w:r>
      <w:r w:rsidRPr="00AD1A02">
        <w:rPr>
          <w:rFonts w:cs="Times New Roman"/>
        </w:rPr>
        <w:t xml:space="preserve"> Seller is in full compliance with the terms of th</w:t>
      </w:r>
      <w:r w:rsidR="000119A7">
        <w:rPr>
          <w:rFonts w:cs="Times New Roman"/>
        </w:rPr>
        <w:t xml:space="preserve">e Definitive </w:t>
      </w:r>
      <w:proofErr w:type="gramStart"/>
      <w:r w:rsidR="000119A7">
        <w:rPr>
          <w:rFonts w:cs="Times New Roman"/>
        </w:rPr>
        <w:t>Agre</w:t>
      </w:r>
      <w:r w:rsidR="00252F09">
        <w:rPr>
          <w:rFonts w:cs="Times New Roman"/>
        </w:rPr>
        <w:t>ement</w:t>
      </w:r>
      <w:r w:rsidR="003172DF">
        <w:rPr>
          <w:rFonts w:cs="Times New Roman"/>
        </w:rPr>
        <w:t>s</w:t>
      </w:r>
      <w:r w:rsidR="00306059">
        <w:rPr>
          <w:rFonts w:cs="Times New Roman"/>
        </w:rPr>
        <w:t>;</w:t>
      </w:r>
      <w:proofErr w:type="gramEnd"/>
    </w:p>
    <w:p w14:paraId="47BA0987" w14:textId="79FA6CC7" w:rsidR="00910BC1" w:rsidRPr="00AD1A02" w:rsidRDefault="00061058" w:rsidP="00F34F6B">
      <w:pPr>
        <w:pStyle w:val="ArticleL3"/>
        <w:widowControl w:val="0"/>
        <w:numPr>
          <w:ilvl w:val="0"/>
          <w:numId w:val="26"/>
        </w:numPr>
        <w:tabs>
          <w:tab w:val="left" w:pos="2160"/>
        </w:tabs>
        <w:spacing w:after="120"/>
        <w:contextualSpacing/>
        <w:jc w:val="both"/>
        <w:outlineLvl w:val="9"/>
      </w:pPr>
      <w:r>
        <w:rPr>
          <w:rFonts w:cs="Times New Roman"/>
        </w:rPr>
        <w:t>T</w:t>
      </w:r>
      <w:r w:rsidR="00910BC1" w:rsidRPr="002C4D90">
        <w:rPr>
          <w:rFonts w:cs="Times New Roman"/>
        </w:rPr>
        <w:t xml:space="preserve">he Facility </w:t>
      </w:r>
      <w:r w:rsidR="00F34F6B">
        <w:rPr>
          <w:rFonts w:cs="Times New Roman"/>
        </w:rPr>
        <w:t>has been constructed</w:t>
      </w:r>
      <w:r w:rsidR="00910BC1" w:rsidRPr="002C4D90">
        <w:rPr>
          <w:rFonts w:cs="Times New Roman"/>
        </w:rPr>
        <w:t xml:space="preserve"> in conformance with </w:t>
      </w:r>
      <w:r w:rsidR="00252F09" w:rsidRPr="002C4D90">
        <w:rPr>
          <w:rFonts w:cs="Times New Roman"/>
        </w:rPr>
        <w:t>all material project documents</w:t>
      </w:r>
      <w:r w:rsidR="00882B5B" w:rsidRPr="002C4D90">
        <w:rPr>
          <w:rFonts w:cs="Times New Roman"/>
        </w:rPr>
        <w:t xml:space="preserve"> and the Technical </w:t>
      </w:r>
      <w:r w:rsidR="00413983" w:rsidRPr="002C4D90">
        <w:rPr>
          <w:rFonts w:cs="Times New Roman"/>
        </w:rPr>
        <w:t>Requirements</w:t>
      </w:r>
      <w:r w:rsidR="00F34F6B">
        <w:rPr>
          <w:rFonts w:cs="Times New Roman"/>
        </w:rPr>
        <w:t xml:space="preserve"> and good utility </w:t>
      </w:r>
      <w:proofErr w:type="gramStart"/>
      <w:r w:rsidR="00F34F6B">
        <w:rPr>
          <w:rFonts w:cs="Times New Roman"/>
        </w:rPr>
        <w:t>practice;</w:t>
      </w:r>
      <w:proofErr w:type="gramEnd"/>
    </w:p>
    <w:p w14:paraId="37FB2E14" w14:textId="7A6BFEED" w:rsidR="00910BC1" w:rsidRPr="00AD1A02" w:rsidRDefault="00335960" w:rsidP="00BA5AA9">
      <w:pPr>
        <w:pStyle w:val="ArticleL3"/>
        <w:widowControl w:val="0"/>
        <w:numPr>
          <w:ilvl w:val="0"/>
          <w:numId w:val="26"/>
        </w:numPr>
        <w:tabs>
          <w:tab w:val="left" w:pos="2160"/>
        </w:tabs>
        <w:spacing w:after="120"/>
        <w:contextualSpacing/>
        <w:jc w:val="both"/>
        <w:outlineLvl w:val="9"/>
        <w:rPr>
          <w:rFonts w:cs="Times New Roman"/>
        </w:rPr>
      </w:pPr>
      <w:r>
        <w:rPr>
          <w:rFonts w:cs="Times New Roman"/>
        </w:rPr>
        <w:t>A</w:t>
      </w:r>
      <w:r w:rsidR="00910BC1" w:rsidRPr="00AD1A02">
        <w:rPr>
          <w:rFonts w:cs="Times New Roman"/>
        </w:rPr>
        <w:t>ll Se</w:t>
      </w:r>
      <w:r w:rsidR="005C0BC2">
        <w:rPr>
          <w:rFonts w:cs="Times New Roman"/>
        </w:rPr>
        <w:t>ller Credit Support</w:t>
      </w:r>
      <w:r w:rsidR="00910BC1" w:rsidRPr="00AD1A02">
        <w:rPr>
          <w:rFonts w:cs="Times New Roman"/>
        </w:rPr>
        <w:t xml:space="preserve"> </w:t>
      </w:r>
      <w:r w:rsidR="005C0BC2">
        <w:rPr>
          <w:rFonts w:cs="Times New Roman"/>
        </w:rPr>
        <w:t>has</w:t>
      </w:r>
      <w:r w:rsidR="00910BC1" w:rsidRPr="00AD1A02">
        <w:rPr>
          <w:rFonts w:cs="Times New Roman"/>
        </w:rPr>
        <w:t xml:space="preserve"> been established in a form and in the amounts sufficient to meet the requirements of th</w:t>
      </w:r>
      <w:r w:rsidR="000F22BD">
        <w:rPr>
          <w:rFonts w:cs="Times New Roman"/>
        </w:rPr>
        <w:t>e Definitive Agreements</w:t>
      </w:r>
      <w:r w:rsidR="00910BC1" w:rsidRPr="00AD1A02">
        <w:rPr>
          <w:rFonts w:cs="Times New Roman"/>
        </w:rPr>
        <w:t xml:space="preserve"> and Seller has provided </w:t>
      </w:r>
      <w:r w:rsidR="00C805A1">
        <w:rPr>
          <w:rFonts w:cs="Times New Roman"/>
        </w:rPr>
        <w:t>Buyer</w:t>
      </w:r>
      <w:r w:rsidR="00C805A1" w:rsidRPr="00AD1A02">
        <w:rPr>
          <w:rFonts w:cs="Times New Roman"/>
        </w:rPr>
        <w:t xml:space="preserve"> </w:t>
      </w:r>
      <w:r w:rsidR="00910BC1" w:rsidRPr="00AD1A02">
        <w:rPr>
          <w:rFonts w:cs="Times New Roman"/>
        </w:rPr>
        <w:t xml:space="preserve">with proof that such arrangements are in </w:t>
      </w:r>
      <w:proofErr w:type="gramStart"/>
      <w:r w:rsidR="00910BC1" w:rsidRPr="00AD1A02">
        <w:rPr>
          <w:rFonts w:cs="Times New Roman"/>
        </w:rPr>
        <w:t>place;</w:t>
      </w:r>
      <w:proofErr w:type="gramEnd"/>
    </w:p>
    <w:p w14:paraId="41060CD0" w14:textId="26809509" w:rsidR="00272E92" w:rsidRPr="00765377" w:rsidRDefault="00C805A1" w:rsidP="00765377">
      <w:pPr>
        <w:pStyle w:val="ArticleL3"/>
        <w:widowControl w:val="0"/>
        <w:numPr>
          <w:ilvl w:val="0"/>
          <w:numId w:val="26"/>
        </w:numPr>
        <w:tabs>
          <w:tab w:val="left" w:pos="2160"/>
        </w:tabs>
        <w:spacing w:after="120"/>
        <w:contextualSpacing/>
        <w:jc w:val="both"/>
        <w:outlineLvl w:val="9"/>
      </w:pPr>
      <w:r>
        <w:rPr>
          <w:rFonts w:cs="Times New Roman"/>
        </w:rPr>
        <w:t>C</w:t>
      </w:r>
      <w:r w:rsidR="00910BC1" w:rsidRPr="00AD1A02">
        <w:rPr>
          <w:rFonts w:cs="Times New Roman"/>
        </w:rPr>
        <w:t>ertificates proving insurance coverages required by</w:t>
      </w:r>
      <w:r w:rsidR="002D6D91">
        <w:rPr>
          <w:rFonts w:cs="Times New Roman"/>
        </w:rPr>
        <w:t xml:space="preserve"> Buyer</w:t>
      </w:r>
      <w:r w:rsidR="00235103">
        <w:rPr>
          <w:rFonts w:cs="Times New Roman"/>
        </w:rPr>
        <w:t>, including Buyer as a named insured,</w:t>
      </w:r>
      <w:r w:rsidR="00910BC1" w:rsidRPr="00AD1A02">
        <w:rPr>
          <w:rFonts w:cs="Times New Roman"/>
        </w:rPr>
        <w:t xml:space="preserve"> have been submitted to</w:t>
      </w:r>
      <w:r w:rsidR="002D6D91">
        <w:rPr>
          <w:rFonts w:cs="Times New Roman"/>
        </w:rPr>
        <w:t xml:space="preserve"> </w:t>
      </w:r>
      <w:proofErr w:type="gramStart"/>
      <w:r w:rsidR="002D6D91">
        <w:rPr>
          <w:rFonts w:cs="Times New Roman"/>
        </w:rPr>
        <w:t>Buyer</w:t>
      </w:r>
      <w:r w:rsidR="0011713F" w:rsidRPr="00AD1A02">
        <w:rPr>
          <w:rFonts w:cs="Times New Roman"/>
        </w:rPr>
        <w:t>;</w:t>
      </w:r>
      <w:proofErr w:type="gramEnd"/>
    </w:p>
    <w:p w14:paraId="4D48C9FB" w14:textId="2EACC876" w:rsidR="00272E92" w:rsidRDefault="00272E92" w:rsidP="00BA5AA9">
      <w:pPr>
        <w:pStyle w:val="ArticleL3"/>
        <w:widowControl w:val="0"/>
        <w:numPr>
          <w:ilvl w:val="0"/>
          <w:numId w:val="26"/>
        </w:numPr>
        <w:tabs>
          <w:tab w:val="left" w:pos="2160"/>
        </w:tabs>
        <w:spacing w:after="120"/>
        <w:contextualSpacing/>
        <w:jc w:val="both"/>
        <w:outlineLvl w:val="9"/>
        <w:rPr>
          <w:rFonts w:cs="Times New Roman"/>
        </w:rPr>
      </w:pPr>
      <w:r>
        <w:rPr>
          <w:rFonts w:cs="Times New Roman"/>
        </w:rPr>
        <w:t xml:space="preserve">Seller has constructed the Facility in conformance with the prevailing wage requirements under the </w:t>
      </w:r>
      <w:r w:rsidR="004D555D">
        <w:rPr>
          <w:rFonts w:cs="Times New Roman"/>
        </w:rPr>
        <w:t>PWA Requirements</w:t>
      </w:r>
      <w:r w:rsidR="004D555D" w:rsidRPr="00EF464F">
        <w:t xml:space="preserve"> </w:t>
      </w:r>
      <w:r w:rsidR="004D555D">
        <w:t xml:space="preserve">and provided Buyer with a </w:t>
      </w:r>
      <w:proofErr w:type="gramStart"/>
      <w:r w:rsidR="004D555D">
        <w:t>third party</w:t>
      </w:r>
      <w:proofErr w:type="gramEnd"/>
      <w:r w:rsidR="004D555D">
        <w:t xml:space="preserve"> report confirming such conformance </w:t>
      </w:r>
      <w:r>
        <w:rPr>
          <w:rFonts w:cs="Times New Roman"/>
        </w:rPr>
        <w:t>Act</w:t>
      </w:r>
      <w:r w:rsidR="00EF464F" w:rsidRPr="00EF464F">
        <w:t xml:space="preserve"> </w:t>
      </w:r>
      <w:r w:rsidR="00EF464F">
        <w:t>and the MPUC DSES Order 20246-207978-01 issued June 26, 2024;</w:t>
      </w:r>
    </w:p>
    <w:p w14:paraId="6B7992B6" w14:textId="0E68D2D8" w:rsidR="00910BC1" w:rsidRPr="00AD1A02" w:rsidRDefault="00910BC1" w:rsidP="00BA5AA9">
      <w:pPr>
        <w:pStyle w:val="ArticleL3"/>
        <w:widowControl w:val="0"/>
        <w:numPr>
          <w:ilvl w:val="0"/>
          <w:numId w:val="26"/>
        </w:numPr>
        <w:tabs>
          <w:tab w:val="left" w:pos="2160"/>
        </w:tabs>
        <w:spacing w:after="120"/>
        <w:contextualSpacing/>
        <w:jc w:val="both"/>
        <w:outlineLvl w:val="9"/>
        <w:rPr>
          <w:rFonts w:cs="Times New Roman"/>
        </w:rPr>
      </w:pPr>
      <w:r w:rsidRPr="00AD1A02">
        <w:rPr>
          <w:rFonts w:cs="Times New Roman"/>
        </w:rPr>
        <w:t xml:space="preserve">Seller has contracted with the local utility to provide </w:t>
      </w:r>
      <w:r w:rsidR="00823156">
        <w:rPr>
          <w:rFonts w:cs="Times New Roman"/>
        </w:rPr>
        <w:t>station power</w:t>
      </w:r>
      <w:r w:rsidRPr="00AD1A02">
        <w:rPr>
          <w:rFonts w:cs="Times New Roman"/>
        </w:rPr>
        <w:t xml:space="preserve"> to the </w:t>
      </w:r>
      <w:r w:rsidR="00823156">
        <w:rPr>
          <w:rFonts w:cs="Times New Roman"/>
        </w:rPr>
        <w:t>Facility</w:t>
      </w:r>
      <w:r w:rsidRPr="00AD1A02">
        <w:rPr>
          <w:rFonts w:cs="Times New Roman"/>
        </w:rPr>
        <w:t xml:space="preserve">; </w:t>
      </w:r>
      <w:r w:rsidR="0045549E">
        <w:rPr>
          <w:rFonts w:cs="Times New Roman"/>
        </w:rPr>
        <w:t>and,</w:t>
      </w:r>
    </w:p>
    <w:p w14:paraId="474BB470" w14:textId="6C0761FF" w:rsidR="003D15ED" w:rsidRDefault="00910BC1" w:rsidP="0045549E">
      <w:pPr>
        <w:pStyle w:val="ArticleL3"/>
        <w:widowControl w:val="0"/>
        <w:numPr>
          <w:ilvl w:val="0"/>
          <w:numId w:val="26"/>
        </w:numPr>
        <w:tabs>
          <w:tab w:val="left" w:pos="2160"/>
        </w:tabs>
        <w:spacing w:after="120"/>
        <w:contextualSpacing/>
        <w:jc w:val="both"/>
        <w:outlineLvl w:val="9"/>
        <w:rPr>
          <w:rFonts w:cs="Times New Roman"/>
        </w:rPr>
      </w:pPr>
      <w:r w:rsidRPr="00AD1A02">
        <w:rPr>
          <w:rFonts w:cs="Times New Roman"/>
        </w:rPr>
        <w:t>Seller has provide</w:t>
      </w:r>
      <w:r w:rsidR="00823156">
        <w:rPr>
          <w:rFonts w:cs="Times New Roman"/>
        </w:rPr>
        <w:t>d</w:t>
      </w:r>
      <w:r w:rsidRPr="00AD1A02">
        <w:rPr>
          <w:rFonts w:cs="Times New Roman"/>
        </w:rPr>
        <w:t xml:space="preserve"> </w:t>
      </w:r>
      <w:r w:rsidR="00823156">
        <w:rPr>
          <w:rFonts w:cs="Times New Roman"/>
        </w:rPr>
        <w:t>Buyer</w:t>
      </w:r>
      <w:r w:rsidRPr="00AD1A02">
        <w:rPr>
          <w:rFonts w:cs="Times New Roman"/>
        </w:rPr>
        <w:t xml:space="preserve"> with any applicable information required to register the Facility with the app</w:t>
      </w:r>
      <w:r w:rsidR="00235103">
        <w:rPr>
          <w:rFonts w:cs="Times New Roman"/>
        </w:rPr>
        <w:t>licable</w:t>
      </w:r>
      <w:r w:rsidRPr="00AD1A02">
        <w:rPr>
          <w:rFonts w:cs="Times New Roman"/>
        </w:rPr>
        <w:t xml:space="preserve"> </w:t>
      </w:r>
      <w:r w:rsidR="00823156">
        <w:rPr>
          <w:rFonts w:cs="Times New Roman"/>
        </w:rPr>
        <w:t>Renewable Energy Certificate and/ or “</w:t>
      </w:r>
      <w:r w:rsidRPr="00AD1A02">
        <w:rPr>
          <w:rFonts w:cs="Times New Roman"/>
        </w:rPr>
        <w:t>Green Tag</w:t>
      </w:r>
      <w:r w:rsidR="00823156">
        <w:rPr>
          <w:rFonts w:cs="Times New Roman"/>
        </w:rPr>
        <w:t>”</w:t>
      </w:r>
      <w:r w:rsidRPr="00AD1A02">
        <w:rPr>
          <w:rFonts w:cs="Times New Roman"/>
        </w:rPr>
        <w:t xml:space="preserve"> tracking syste</w:t>
      </w:r>
      <w:r w:rsidR="0045549E">
        <w:rPr>
          <w:rFonts w:cs="Times New Roman"/>
        </w:rPr>
        <w:t>m.</w:t>
      </w:r>
    </w:p>
    <w:p w14:paraId="41EF820F" w14:textId="78BAA076" w:rsidR="00765377" w:rsidRPr="00765377" w:rsidRDefault="00765377" w:rsidP="00765377">
      <w:pPr>
        <w:pStyle w:val="BodyText"/>
        <w:ind w:left="0"/>
      </w:pPr>
      <w:r w:rsidRPr="00BA5AA9">
        <w:t xml:space="preserve">Seller will provide Buyer with evidence that the </w:t>
      </w:r>
      <w:r w:rsidR="004135A4">
        <w:t>Closing</w:t>
      </w:r>
      <w:r w:rsidRPr="00BA5AA9">
        <w:t xml:space="preserve"> CPs have been satisfied and Buyer shall have a stated period to object or agree whether the </w:t>
      </w:r>
      <w:r w:rsidR="004135A4">
        <w:t>Closing</w:t>
      </w:r>
      <w:r w:rsidRPr="00BA5AA9">
        <w:t xml:space="preserve"> CPs have been satisfied.</w:t>
      </w:r>
    </w:p>
    <w:p w14:paraId="1940DF91" w14:textId="15F76A3B" w:rsidR="00765377" w:rsidRPr="00765377" w:rsidRDefault="00765377" w:rsidP="00FE11D0">
      <w:pPr>
        <w:pStyle w:val="BodyText"/>
        <w:ind w:left="0" w:firstLine="720"/>
        <w:rPr>
          <w:i/>
          <w:iCs/>
          <w:u w:val="single"/>
        </w:rPr>
      </w:pPr>
      <w:r>
        <w:rPr>
          <w:i/>
          <w:iCs/>
          <w:u w:val="single"/>
        </w:rPr>
        <w:t>Substantial Completion Payment</w:t>
      </w:r>
    </w:p>
    <w:p w14:paraId="38521884" w14:textId="7E6B9FFC" w:rsidR="00765377" w:rsidRDefault="00765377" w:rsidP="00765377">
      <w:pPr>
        <w:spacing w:before="120" w:after="120"/>
        <w:jc w:val="both"/>
        <w:rPr>
          <w:sz w:val="24"/>
          <w:szCs w:val="24"/>
        </w:rPr>
      </w:pPr>
      <w:r>
        <w:rPr>
          <w:sz w:val="24"/>
          <w:szCs w:val="24"/>
        </w:rPr>
        <w:t xml:space="preserve">The third installment payment will be made [[fifteen] [15]] days after the date that “Substantial Completion” of the Facility as defined under the EPC Contract has been achieved. </w:t>
      </w:r>
    </w:p>
    <w:p w14:paraId="3F06E8E7" w14:textId="534134A0" w:rsidR="00765377" w:rsidRDefault="00765377" w:rsidP="00765377">
      <w:pPr>
        <w:spacing w:before="120" w:after="120"/>
        <w:jc w:val="both"/>
        <w:rPr>
          <w:sz w:val="24"/>
          <w:szCs w:val="24"/>
        </w:rPr>
      </w:pPr>
      <w:r w:rsidRPr="00765377">
        <w:rPr>
          <w:sz w:val="24"/>
          <w:szCs w:val="24"/>
        </w:rPr>
        <w:lastRenderedPageBreak/>
        <w:t>Seller will provide Buyer with evidence that</w:t>
      </w:r>
      <w:r>
        <w:rPr>
          <w:sz w:val="24"/>
          <w:szCs w:val="24"/>
        </w:rPr>
        <w:t xml:space="preserve"> Substantial Completion</w:t>
      </w:r>
      <w:r w:rsidRPr="00765377">
        <w:rPr>
          <w:sz w:val="24"/>
          <w:szCs w:val="24"/>
        </w:rPr>
        <w:t xml:space="preserve"> been satisfied</w:t>
      </w:r>
      <w:r>
        <w:rPr>
          <w:sz w:val="24"/>
          <w:szCs w:val="24"/>
        </w:rPr>
        <w:t>, including but not limited to certification of Substantial Completion by a</w:t>
      </w:r>
      <w:r w:rsidRPr="009B0DD1">
        <w:rPr>
          <w:sz w:val="24"/>
          <w:szCs w:val="24"/>
        </w:rPr>
        <w:t xml:space="preserve">n </w:t>
      </w:r>
      <w:r w:rsidRPr="00BA5AA9">
        <w:rPr>
          <w:sz w:val="24"/>
          <w:szCs w:val="24"/>
        </w:rPr>
        <w:t xml:space="preserve">officer of Seller who has knowledge of the </w:t>
      </w:r>
      <w:r>
        <w:rPr>
          <w:sz w:val="24"/>
          <w:szCs w:val="24"/>
        </w:rPr>
        <w:t>Facility, applicable engineering reports, commissioning studies and customary lien waivers provided by contractors,</w:t>
      </w:r>
      <w:r w:rsidRPr="00765377">
        <w:rPr>
          <w:sz w:val="24"/>
          <w:szCs w:val="24"/>
        </w:rPr>
        <w:t xml:space="preserve"> and Buyer shall have a stated period to object or agree whether </w:t>
      </w:r>
      <w:r>
        <w:rPr>
          <w:sz w:val="24"/>
          <w:szCs w:val="24"/>
        </w:rPr>
        <w:t>Substantial Completion</w:t>
      </w:r>
      <w:r w:rsidRPr="00765377">
        <w:rPr>
          <w:sz w:val="24"/>
          <w:szCs w:val="24"/>
        </w:rPr>
        <w:t xml:space="preserve"> ha</w:t>
      </w:r>
      <w:r>
        <w:rPr>
          <w:sz w:val="24"/>
          <w:szCs w:val="24"/>
        </w:rPr>
        <w:t>s occurred</w:t>
      </w:r>
      <w:r w:rsidRPr="00765377">
        <w:rPr>
          <w:sz w:val="24"/>
          <w:szCs w:val="24"/>
        </w:rPr>
        <w:t>.</w:t>
      </w:r>
      <w:r w:rsidR="00FE11D0">
        <w:rPr>
          <w:sz w:val="24"/>
          <w:szCs w:val="24"/>
        </w:rPr>
        <w:t xml:space="preserve"> Seller shall additionally provide </w:t>
      </w:r>
      <w:r w:rsidR="00FE11D0" w:rsidRPr="00FE11D0">
        <w:rPr>
          <w:sz w:val="24"/>
          <w:szCs w:val="24"/>
        </w:rPr>
        <w:t xml:space="preserve">Buyer </w:t>
      </w:r>
      <w:proofErr w:type="gramStart"/>
      <w:r w:rsidR="00FE11D0" w:rsidRPr="00FE11D0">
        <w:rPr>
          <w:sz w:val="24"/>
          <w:szCs w:val="24"/>
        </w:rPr>
        <w:t>with  bringdown</w:t>
      </w:r>
      <w:r w:rsidR="00A65CD1">
        <w:rPr>
          <w:sz w:val="24"/>
          <w:szCs w:val="24"/>
        </w:rPr>
        <w:t>s</w:t>
      </w:r>
      <w:proofErr w:type="gramEnd"/>
      <w:r w:rsidR="00FE11D0" w:rsidRPr="00FE11D0">
        <w:rPr>
          <w:sz w:val="24"/>
          <w:szCs w:val="24"/>
        </w:rPr>
        <w:t xml:space="preserve"> of the Tax Opinion received at the Closing</w:t>
      </w:r>
      <w:r w:rsidR="00A65CD1">
        <w:rPr>
          <w:sz w:val="24"/>
          <w:szCs w:val="24"/>
        </w:rPr>
        <w:t xml:space="preserve"> and the cost segregation provided at Commencement</w:t>
      </w:r>
      <w:r w:rsidR="00FE11D0" w:rsidRPr="00FE11D0">
        <w:rPr>
          <w:sz w:val="24"/>
          <w:szCs w:val="24"/>
        </w:rPr>
        <w:t xml:space="preserve"> and discussed further below in form and substance acceptable to Buyer</w:t>
      </w:r>
      <w:r w:rsidR="00FE11D0">
        <w:rPr>
          <w:sz w:val="24"/>
          <w:szCs w:val="24"/>
        </w:rPr>
        <w:t>.</w:t>
      </w:r>
    </w:p>
    <w:p w14:paraId="4722EB98" w14:textId="705C123D" w:rsidR="00765377" w:rsidRPr="00765377" w:rsidRDefault="00765377" w:rsidP="00FE11D0">
      <w:pPr>
        <w:spacing w:before="120" w:after="120"/>
        <w:ind w:firstLine="720"/>
        <w:jc w:val="both"/>
        <w:rPr>
          <w:i/>
          <w:iCs/>
          <w:sz w:val="24"/>
          <w:szCs w:val="24"/>
          <w:u w:val="single"/>
        </w:rPr>
      </w:pPr>
      <w:r>
        <w:rPr>
          <w:i/>
          <w:iCs/>
          <w:sz w:val="24"/>
          <w:szCs w:val="24"/>
          <w:u w:val="single"/>
        </w:rPr>
        <w:t>Final Completion Punchlist Holdback</w:t>
      </w:r>
    </w:p>
    <w:p w14:paraId="7160606C" w14:textId="38CE1D69" w:rsidR="00765377" w:rsidRDefault="00765377" w:rsidP="00765377">
      <w:pPr>
        <w:spacing w:before="120" w:after="120"/>
        <w:jc w:val="both"/>
        <w:rPr>
          <w:sz w:val="24"/>
          <w:szCs w:val="24"/>
        </w:rPr>
      </w:pPr>
      <w:r w:rsidRPr="00334D0E">
        <w:rPr>
          <w:sz w:val="24"/>
          <w:szCs w:val="24"/>
        </w:rPr>
        <w:t xml:space="preserve">Buyer will be entitled to withhold from the </w:t>
      </w:r>
      <w:r>
        <w:rPr>
          <w:sz w:val="24"/>
          <w:szCs w:val="24"/>
        </w:rPr>
        <w:t>Substantial Completion payment</w:t>
      </w:r>
      <w:r w:rsidRPr="00334D0E">
        <w:rPr>
          <w:sz w:val="24"/>
          <w:szCs w:val="24"/>
        </w:rPr>
        <w:t xml:space="preserve"> an amount equal to</w:t>
      </w:r>
      <w:r w:rsidR="00554163">
        <w:rPr>
          <w:sz w:val="24"/>
          <w:szCs w:val="24"/>
        </w:rPr>
        <w:t xml:space="preserve"> </w:t>
      </w:r>
      <w:r w:rsidR="009136D0">
        <w:rPr>
          <w:sz w:val="24"/>
          <w:szCs w:val="24"/>
        </w:rPr>
        <w:t>o</w:t>
      </w:r>
      <w:r w:rsidR="004B77FD">
        <w:rPr>
          <w:sz w:val="24"/>
          <w:szCs w:val="24"/>
        </w:rPr>
        <w:t>ne hundred and five percent (105%) of the “Punchlist Holdback” under the EPC Contract</w:t>
      </w:r>
      <w:r>
        <w:rPr>
          <w:sz w:val="24"/>
          <w:szCs w:val="24"/>
        </w:rPr>
        <w:t xml:space="preserve"> </w:t>
      </w:r>
      <w:r w:rsidRPr="00334D0E">
        <w:rPr>
          <w:sz w:val="24"/>
          <w:szCs w:val="24"/>
        </w:rPr>
        <w:t>to complete a</w:t>
      </w:r>
      <w:r>
        <w:rPr>
          <w:sz w:val="24"/>
          <w:szCs w:val="24"/>
        </w:rPr>
        <w:t>ll “Punchlist Items” under the EPC Contract.</w:t>
      </w:r>
    </w:p>
    <w:p w14:paraId="4EAC00F8" w14:textId="1DECFBED" w:rsidR="00765377" w:rsidRPr="00765377" w:rsidRDefault="00765377" w:rsidP="00FE11D0">
      <w:pPr>
        <w:spacing w:before="120" w:after="120"/>
        <w:ind w:firstLine="720"/>
        <w:jc w:val="both"/>
        <w:rPr>
          <w:i/>
          <w:iCs/>
          <w:sz w:val="24"/>
          <w:szCs w:val="24"/>
          <w:u w:val="single"/>
        </w:rPr>
      </w:pPr>
      <w:r>
        <w:rPr>
          <w:i/>
          <w:iCs/>
          <w:sz w:val="24"/>
          <w:szCs w:val="24"/>
          <w:u w:val="single"/>
        </w:rPr>
        <w:t>Alternative Payment Structures</w:t>
      </w:r>
    </w:p>
    <w:p w14:paraId="5A009705" w14:textId="31E4480B" w:rsidR="00765377" w:rsidRPr="00765377" w:rsidRDefault="00B37506" w:rsidP="00765377">
      <w:pPr>
        <w:spacing w:before="120" w:after="120"/>
        <w:jc w:val="both"/>
        <w:rPr>
          <w:sz w:val="24"/>
          <w:szCs w:val="24"/>
        </w:rPr>
      </w:pPr>
      <w:r w:rsidRPr="00334D0E">
        <w:rPr>
          <w:sz w:val="24"/>
          <w:szCs w:val="24"/>
        </w:rPr>
        <w:t xml:space="preserve">Subject to Seller providing </w:t>
      </w:r>
      <w:r w:rsidR="00482AAB">
        <w:rPr>
          <w:sz w:val="24"/>
          <w:szCs w:val="24"/>
        </w:rPr>
        <w:t xml:space="preserve">applicable </w:t>
      </w:r>
      <w:r w:rsidRPr="00334D0E">
        <w:rPr>
          <w:sz w:val="24"/>
          <w:szCs w:val="24"/>
        </w:rPr>
        <w:t xml:space="preserve">Seller Credit Support acceptable to Buyer, Buyer will consider </w:t>
      </w:r>
      <w:r w:rsidR="00823156" w:rsidRPr="00334D0E">
        <w:rPr>
          <w:sz w:val="24"/>
          <w:szCs w:val="24"/>
        </w:rPr>
        <w:t>including</w:t>
      </w:r>
      <w:r w:rsidRPr="00334D0E">
        <w:rPr>
          <w:sz w:val="24"/>
          <w:szCs w:val="24"/>
        </w:rPr>
        <w:t xml:space="preserve"> </w:t>
      </w:r>
      <w:r w:rsidR="00334D0E">
        <w:rPr>
          <w:sz w:val="24"/>
          <w:szCs w:val="24"/>
        </w:rPr>
        <w:t xml:space="preserve">additional </w:t>
      </w:r>
      <w:r w:rsidRPr="00334D0E">
        <w:rPr>
          <w:sz w:val="24"/>
          <w:szCs w:val="24"/>
        </w:rPr>
        <w:t>progress payments prior to</w:t>
      </w:r>
      <w:r w:rsidR="0045549E">
        <w:rPr>
          <w:sz w:val="24"/>
          <w:szCs w:val="24"/>
        </w:rPr>
        <w:t xml:space="preserve"> the</w:t>
      </w:r>
      <w:r w:rsidRPr="00334D0E">
        <w:rPr>
          <w:sz w:val="24"/>
          <w:szCs w:val="24"/>
        </w:rPr>
        <w:t xml:space="preserve"> Closing</w:t>
      </w:r>
      <w:r w:rsidR="0045549E">
        <w:rPr>
          <w:sz w:val="24"/>
          <w:szCs w:val="24"/>
        </w:rPr>
        <w:t xml:space="preserve"> Date as set forth</w:t>
      </w:r>
      <w:r w:rsidR="00823156" w:rsidRPr="00334D0E">
        <w:rPr>
          <w:sz w:val="24"/>
          <w:szCs w:val="24"/>
        </w:rPr>
        <w:t xml:space="preserve"> in the Definitive Agreements</w:t>
      </w:r>
      <w:r w:rsidRPr="00334D0E">
        <w:rPr>
          <w:sz w:val="24"/>
          <w:szCs w:val="24"/>
        </w:rPr>
        <w:t>. Any</w:t>
      </w:r>
      <w:r w:rsidR="00334D0E">
        <w:rPr>
          <w:sz w:val="24"/>
          <w:szCs w:val="24"/>
        </w:rPr>
        <w:t xml:space="preserve"> such</w:t>
      </w:r>
      <w:r w:rsidRPr="00334D0E">
        <w:rPr>
          <w:sz w:val="24"/>
          <w:szCs w:val="24"/>
        </w:rPr>
        <w:t xml:space="preserve"> progress payments </w:t>
      </w:r>
      <w:r w:rsidR="00BF7F57" w:rsidRPr="00334D0E">
        <w:rPr>
          <w:sz w:val="24"/>
          <w:szCs w:val="24"/>
        </w:rPr>
        <w:t>will</w:t>
      </w:r>
      <w:r w:rsidRPr="00334D0E">
        <w:rPr>
          <w:sz w:val="24"/>
          <w:szCs w:val="24"/>
        </w:rPr>
        <w:t xml:space="preserve"> be tied to the achievement of specific</w:t>
      </w:r>
      <w:r w:rsidR="00334D0E">
        <w:rPr>
          <w:sz w:val="24"/>
          <w:szCs w:val="24"/>
        </w:rPr>
        <w:t xml:space="preserve"> milestones set forth in Exhibit B.</w:t>
      </w:r>
      <w:r w:rsidRPr="00334D0E">
        <w:rPr>
          <w:sz w:val="24"/>
          <w:szCs w:val="24"/>
        </w:rPr>
        <w:t xml:space="preserve"> </w:t>
      </w:r>
      <w:r w:rsidR="00765377">
        <w:rPr>
          <w:sz w:val="24"/>
          <w:szCs w:val="24"/>
        </w:rPr>
        <w:t>However, i</w:t>
      </w:r>
      <w:r w:rsidR="00765377" w:rsidRPr="00334D0E">
        <w:rPr>
          <w:sz w:val="24"/>
          <w:szCs w:val="24"/>
        </w:rPr>
        <w:t xml:space="preserve">n no case will the amount of the Purchase Price paid prior </w:t>
      </w:r>
      <w:r w:rsidR="00765377">
        <w:rPr>
          <w:sz w:val="24"/>
          <w:szCs w:val="24"/>
        </w:rPr>
        <w:t>Substantial Completion</w:t>
      </w:r>
      <w:r w:rsidR="00765377" w:rsidRPr="00334D0E">
        <w:rPr>
          <w:sz w:val="24"/>
          <w:szCs w:val="24"/>
        </w:rPr>
        <w:t xml:space="preserve"> exceed </w:t>
      </w:r>
      <w:r w:rsidR="00765377">
        <w:rPr>
          <w:sz w:val="24"/>
          <w:szCs w:val="24"/>
        </w:rPr>
        <w:t>20%</w:t>
      </w:r>
      <w:r w:rsidR="00765377" w:rsidRPr="00334D0E">
        <w:rPr>
          <w:sz w:val="24"/>
          <w:szCs w:val="24"/>
        </w:rPr>
        <w:t xml:space="preserve"> of the total Purchase Price</w:t>
      </w:r>
      <w:r w:rsidR="00765377">
        <w:rPr>
          <w:sz w:val="24"/>
          <w:szCs w:val="24"/>
        </w:rPr>
        <w:t xml:space="preserve">.  </w:t>
      </w:r>
    </w:p>
    <w:p w14:paraId="7654A444" w14:textId="7AA2FE3E" w:rsidR="00F25E4C" w:rsidRPr="00BA5AA9" w:rsidRDefault="00B31872" w:rsidP="00BA5AA9">
      <w:pPr>
        <w:spacing w:before="120" w:after="120"/>
        <w:rPr>
          <w:b/>
          <w:bCs/>
          <w:sz w:val="24"/>
          <w:szCs w:val="24"/>
        </w:rPr>
      </w:pPr>
      <w:r w:rsidRPr="00BA5AA9">
        <w:rPr>
          <w:b/>
          <w:bCs/>
          <w:sz w:val="24"/>
          <w:szCs w:val="24"/>
        </w:rPr>
        <w:t>SELLER’S WORK AND OTHER RESPONSIBILITIES</w:t>
      </w:r>
    </w:p>
    <w:p w14:paraId="3E254CCA" w14:textId="3FDB6416" w:rsidR="00413983" w:rsidRDefault="00AB2447" w:rsidP="00BA5AA9">
      <w:pPr>
        <w:spacing w:before="120" w:after="120"/>
        <w:jc w:val="both"/>
        <w:rPr>
          <w:sz w:val="24"/>
          <w:szCs w:val="24"/>
        </w:rPr>
      </w:pPr>
      <w:r w:rsidRPr="00A44FBE">
        <w:rPr>
          <w:sz w:val="24"/>
          <w:szCs w:val="24"/>
        </w:rPr>
        <w:t>Seller will be responsible</w:t>
      </w:r>
      <w:r w:rsidR="00A44FBE">
        <w:rPr>
          <w:sz w:val="24"/>
          <w:szCs w:val="24"/>
        </w:rPr>
        <w:t xml:space="preserve"> </w:t>
      </w:r>
      <w:r w:rsidR="00A836CC" w:rsidRPr="00A44FBE">
        <w:rPr>
          <w:sz w:val="24"/>
          <w:szCs w:val="24"/>
        </w:rPr>
        <w:t>for the</w:t>
      </w:r>
      <w:r w:rsidRPr="00A44FBE">
        <w:rPr>
          <w:sz w:val="24"/>
          <w:szCs w:val="24"/>
        </w:rPr>
        <w:t xml:space="preserve"> </w:t>
      </w:r>
      <w:r w:rsidR="00983C05">
        <w:rPr>
          <w:sz w:val="24"/>
          <w:szCs w:val="24"/>
        </w:rPr>
        <w:t>c</w:t>
      </w:r>
      <w:r w:rsidRPr="00A44FBE">
        <w:rPr>
          <w:sz w:val="24"/>
          <w:szCs w:val="24"/>
        </w:rPr>
        <w:t xml:space="preserve">ost and expense, under the </w:t>
      </w:r>
      <w:r w:rsidR="005F772C" w:rsidRPr="00A44FBE">
        <w:rPr>
          <w:sz w:val="24"/>
          <w:szCs w:val="24"/>
        </w:rPr>
        <w:t xml:space="preserve">Definitive </w:t>
      </w:r>
      <w:r w:rsidRPr="00A44FBE">
        <w:rPr>
          <w:sz w:val="24"/>
          <w:szCs w:val="24"/>
        </w:rPr>
        <w:t>Agreement</w:t>
      </w:r>
      <w:r w:rsidR="005F772C" w:rsidRPr="00A44FBE">
        <w:rPr>
          <w:sz w:val="24"/>
          <w:szCs w:val="24"/>
        </w:rPr>
        <w:t>s</w:t>
      </w:r>
      <w:r w:rsidR="00A836CC" w:rsidRPr="00A44FBE">
        <w:rPr>
          <w:sz w:val="24"/>
          <w:szCs w:val="24"/>
        </w:rPr>
        <w:t xml:space="preserve"> and as further set forth in the Interconnection Agreement</w:t>
      </w:r>
      <w:r w:rsidR="00983C05">
        <w:rPr>
          <w:sz w:val="24"/>
          <w:szCs w:val="24"/>
        </w:rPr>
        <w:t>,</w:t>
      </w:r>
      <w:r w:rsidRPr="00A44FBE">
        <w:rPr>
          <w:sz w:val="24"/>
          <w:szCs w:val="24"/>
        </w:rPr>
        <w:t xml:space="preserve"> for all work required to achieve </w:t>
      </w:r>
      <w:r w:rsidR="00A30A1D" w:rsidRPr="00A44FBE">
        <w:rPr>
          <w:sz w:val="24"/>
          <w:szCs w:val="24"/>
        </w:rPr>
        <w:t>commercial operation of the Facility</w:t>
      </w:r>
      <w:r w:rsidRPr="00A44FBE">
        <w:rPr>
          <w:sz w:val="24"/>
          <w:szCs w:val="24"/>
        </w:rPr>
        <w:t xml:space="preserve">, including with respect to the </w:t>
      </w:r>
      <w:r w:rsidR="00E77FCD" w:rsidRPr="00A44FBE">
        <w:rPr>
          <w:sz w:val="24"/>
          <w:szCs w:val="24"/>
        </w:rPr>
        <w:t>Facility</w:t>
      </w:r>
      <w:r w:rsidRPr="00BA5AA9">
        <w:rPr>
          <w:sz w:val="24"/>
          <w:szCs w:val="24"/>
        </w:rPr>
        <w:t xml:space="preserve"> substation</w:t>
      </w:r>
      <w:r w:rsidR="009457DA">
        <w:rPr>
          <w:sz w:val="24"/>
          <w:szCs w:val="24"/>
        </w:rPr>
        <w:t>;</w:t>
      </w:r>
      <w:r w:rsidR="009457DA" w:rsidRPr="00BA5AA9">
        <w:rPr>
          <w:sz w:val="24"/>
          <w:szCs w:val="24"/>
        </w:rPr>
        <w:t xml:space="preserve"> </w:t>
      </w:r>
      <w:r w:rsidR="00A30A1D">
        <w:rPr>
          <w:sz w:val="24"/>
          <w:szCs w:val="24"/>
        </w:rPr>
        <w:t>maintenance</w:t>
      </w:r>
      <w:r w:rsidRPr="00BA5AA9">
        <w:rPr>
          <w:sz w:val="24"/>
          <w:szCs w:val="24"/>
        </w:rPr>
        <w:t xml:space="preserve"> building</w:t>
      </w:r>
      <w:r w:rsidR="00A30A1D">
        <w:rPr>
          <w:sz w:val="24"/>
          <w:szCs w:val="24"/>
        </w:rPr>
        <w:t>s</w:t>
      </w:r>
      <w:r w:rsidRPr="00BA5AA9">
        <w:rPr>
          <w:sz w:val="24"/>
          <w:szCs w:val="24"/>
        </w:rPr>
        <w:t xml:space="preserve"> and all other integrated and operational infrastructure facilities</w:t>
      </w:r>
      <w:r w:rsidR="00B11C2D">
        <w:rPr>
          <w:sz w:val="24"/>
          <w:szCs w:val="24"/>
        </w:rPr>
        <w:t>;</w:t>
      </w:r>
      <w:r w:rsidR="00B11C2D" w:rsidRPr="00BA5AA9">
        <w:rPr>
          <w:sz w:val="24"/>
          <w:szCs w:val="24"/>
        </w:rPr>
        <w:t xml:space="preserve"> </w:t>
      </w:r>
      <w:r w:rsidRPr="00BA5AA9">
        <w:rPr>
          <w:sz w:val="24"/>
          <w:szCs w:val="24"/>
        </w:rPr>
        <w:t>all radial transmission lines</w:t>
      </w:r>
      <w:r w:rsidR="00FA3AB1">
        <w:rPr>
          <w:sz w:val="24"/>
          <w:szCs w:val="24"/>
        </w:rPr>
        <w:t>, if any,</w:t>
      </w:r>
      <w:r w:rsidRPr="00BA5AA9">
        <w:rPr>
          <w:sz w:val="24"/>
          <w:szCs w:val="24"/>
        </w:rPr>
        <w:t xml:space="preserve"> and other interconnection facilities required to deliver power from the electric grid to the </w:t>
      </w:r>
      <w:r w:rsidR="00E77FCD" w:rsidRPr="00BA5AA9">
        <w:rPr>
          <w:sz w:val="24"/>
          <w:szCs w:val="24"/>
        </w:rPr>
        <w:t>Facility</w:t>
      </w:r>
      <w:r w:rsidRPr="00BA5AA9">
        <w:rPr>
          <w:sz w:val="24"/>
          <w:szCs w:val="24"/>
        </w:rPr>
        <w:t xml:space="preserve"> and from the </w:t>
      </w:r>
      <w:r w:rsidR="00E77FCD" w:rsidRPr="00BA5AA9">
        <w:rPr>
          <w:sz w:val="24"/>
          <w:szCs w:val="24"/>
        </w:rPr>
        <w:t>Facility</w:t>
      </w:r>
      <w:r w:rsidRPr="00BA5AA9">
        <w:rPr>
          <w:sz w:val="24"/>
          <w:szCs w:val="24"/>
        </w:rPr>
        <w:t xml:space="preserve"> to </w:t>
      </w:r>
      <w:r w:rsidRPr="00BA5AA9">
        <w:rPr>
          <w:sz w:val="24"/>
          <w:szCs w:val="24"/>
          <w:highlight w:val="yellow"/>
        </w:rPr>
        <w:t>[insert]</w:t>
      </w:r>
      <w:r w:rsidRPr="00BA5AA9">
        <w:rPr>
          <w:sz w:val="24"/>
          <w:szCs w:val="24"/>
        </w:rPr>
        <w:t xml:space="preserve"> substation/point of interconnection</w:t>
      </w:r>
      <w:r w:rsidR="00394870">
        <w:rPr>
          <w:sz w:val="24"/>
          <w:szCs w:val="24"/>
        </w:rPr>
        <w:t>;</w:t>
      </w:r>
      <w:r w:rsidR="00394870" w:rsidRPr="00BA5AA9">
        <w:rPr>
          <w:sz w:val="24"/>
          <w:szCs w:val="24"/>
        </w:rPr>
        <w:t xml:space="preserve"> </w:t>
      </w:r>
      <w:r w:rsidRPr="00BA5AA9">
        <w:rPr>
          <w:sz w:val="24"/>
          <w:szCs w:val="24"/>
        </w:rPr>
        <w:t>and including</w:t>
      </w:r>
      <w:r w:rsidR="00A145F1">
        <w:rPr>
          <w:sz w:val="24"/>
          <w:szCs w:val="24"/>
        </w:rPr>
        <w:t>,</w:t>
      </w:r>
      <w:r w:rsidRPr="00BA5AA9">
        <w:rPr>
          <w:sz w:val="24"/>
          <w:szCs w:val="24"/>
        </w:rPr>
        <w:t xml:space="preserve"> without limitation</w:t>
      </w:r>
      <w:r w:rsidR="00A145F1">
        <w:rPr>
          <w:sz w:val="24"/>
          <w:szCs w:val="24"/>
        </w:rPr>
        <w:t>,</w:t>
      </w:r>
      <w:r w:rsidRPr="00BA5AA9">
        <w:rPr>
          <w:sz w:val="24"/>
          <w:szCs w:val="24"/>
        </w:rPr>
        <w:t xml:space="preserve"> the fully assembled, installed, tested and commercially operational solar photovoltaic panels and inverter and related equipment</w:t>
      </w:r>
      <w:r w:rsidR="00FA3AB1">
        <w:rPr>
          <w:sz w:val="24"/>
          <w:szCs w:val="24"/>
        </w:rPr>
        <w:t xml:space="preserve"> [and battery energy storage equipment]</w:t>
      </w:r>
      <w:r w:rsidR="00A145F1">
        <w:rPr>
          <w:sz w:val="24"/>
          <w:szCs w:val="24"/>
        </w:rPr>
        <w:t>,</w:t>
      </w:r>
      <w:r w:rsidRPr="00BA5AA9">
        <w:rPr>
          <w:sz w:val="24"/>
          <w:szCs w:val="24"/>
        </w:rPr>
        <w:t xml:space="preserve"> all in compliance with </w:t>
      </w:r>
      <w:r w:rsidR="00FA3AB1">
        <w:rPr>
          <w:sz w:val="24"/>
          <w:szCs w:val="24"/>
        </w:rPr>
        <w:t>good</w:t>
      </w:r>
      <w:r w:rsidRPr="00BA5AA9">
        <w:rPr>
          <w:sz w:val="24"/>
          <w:szCs w:val="24"/>
        </w:rPr>
        <w:t xml:space="preserve"> utility practices, prudent engineering practices, applicable law, applicable permits, an agreed site plan, the applicable supply agreements, all manufacturer’s warranties, specifications and recommendations, the operations and maintenance agreement (if applicable), the </w:t>
      </w:r>
      <w:r w:rsidR="00032DAC">
        <w:rPr>
          <w:sz w:val="24"/>
          <w:szCs w:val="24"/>
        </w:rPr>
        <w:t>EPC Contract</w:t>
      </w:r>
      <w:r w:rsidRPr="00BA5AA9">
        <w:rPr>
          <w:sz w:val="24"/>
          <w:szCs w:val="24"/>
        </w:rPr>
        <w:t xml:space="preserve">, the </w:t>
      </w:r>
      <w:r w:rsidR="00032DAC">
        <w:rPr>
          <w:sz w:val="24"/>
          <w:szCs w:val="24"/>
        </w:rPr>
        <w:t>I</w:t>
      </w:r>
      <w:r w:rsidRPr="00BA5AA9">
        <w:rPr>
          <w:sz w:val="24"/>
          <w:szCs w:val="24"/>
        </w:rPr>
        <w:t>nterconnection</w:t>
      </w:r>
      <w:r w:rsidR="00F94B7F">
        <w:rPr>
          <w:sz w:val="24"/>
          <w:szCs w:val="24"/>
        </w:rPr>
        <w:t xml:space="preserve"> </w:t>
      </w:r>
      <w:r w:rsidR="00032DAC">
        <w:rPr>
          <w:sz w:val="24"/>
          <w:szCs w:val="24"/>
        </w:rPr>
        <w:t>A</w:t>
      </w:r>
      <w:r w:rsidRPr="00BA5AA9">
        <w:rPr>
          <w:sz w:val="24"/>
          <w:szCs w:val="24"/>
        </w:rPr>
        <w:t>greement, Seller’s quality management plan, Buyer’s Technical Requirement</w:t>
      </w:r>
      <w:r w:rsidR="00B43308">
        <w:rPr>
          <w:sz w:val="24"/>
          <w:szCs w:val="24"/>
        </w:rPr>
        <w:t>s</w:t>
      </w:r>
      <w:r w:rsidRPr="00BA5AA9">
        <w:rPr>
          <w:sz w:val="24"/>
          <w:szCs w:val="24"/>
        </w:rPr>
        <w:t xml:space="preserve"> (the foregoing, collectively,</w:t>
      </w:r>
      <w:r w:rsidR="00CE1DD0" w:rsidRPr="00BA5AA9">
        <w:rPr>
          <w:sz w:val="24"/>
          <w:szCs w:val="24"/>
        </w:rPr>
        <w:t xml:space="preserve"> </w:t>
      </w:r>
      <w:r w:rsidRPr="00BA5AA9">
        <w:rPr>
          <w:sz w:val="24"/>
          <w:szCs w:val="24"/>
        </w:rPr>
        <w:t>the “</w:t>
      </w:r>
      <w:r w:rsidRPr="00B43308">
        <w:rPr>
          <w:sz w:val="24"/>
          <w:szCs w:val="24"/>
        </w:rPr>
        <w:t>Performance Standard</w:t>
      </w:r>
      <w:r w:rsidRPr="00BA5AA9">
        <w:rPr>
          <w:sz w:val="24"/>
          <w:szCs w:val="24"/>
        </w:rPr>
        <w:t xml:space="preserve">”). Buyer and Buyer’s authorized representatives shall have the right to inspect the work and to maintain personnel at the </w:t>
      </w:r>
      <w:r w:rsidR="00E77FCD" w:rsidRPr="00BA5AA9">
        <w:rPr>
          <w:sz w:val="24"/>
          <w:szCs w:val="24"/>
        </w:rPr>
        <w:t>Facility</w:t>
      </w:r>
      <w:r w:rsidRPr="00BA5AA9">
        <w:rPr>
          <w:sz w:val="24"/>
          <w:szCs w:val="24"/>
        </w:rPr>
        <w:t xml:space="preserve"> site for such purpose. For the avoidance of doubt, the foregoing obligations of Seller will continue after the </w:t>
      </w:r>
      <w:r w:rsidR="00A117E8">
        <w:rPr>
          <w:sz w:val="24"/>
          <w:szCs w:val="24"/>
        </w:rPr>
        <w:t>acquisition of the Facility by Buyer,</w:t>
      </w:r>
      <w:r w:rsidRPr="00BA5AA9">
        <w:rPr>
          <w:sz w:val="24"/>
          <w:szCs w:val="24"/>
        </w:rPr>
        <w:t xml:space="preserve"> and Seller will remain responsible for all costs and expenses of completing the work, including those arising under the applicable supply agreements and</w:t>
      </w:r>
      <w:r w:rsidR="0091345F">
        <w:rPr>
          <w:sz w:val="24"/>
          <w:szCs w:val="24"/>
        </w:rPr>
        <w:t xml:space="preserve"> EPC Contract.</w:t>
      </w:r>
      <w:r w:rsidR="007B4F38">
        <w:rPr>
          <w:rStyle w:val="FootnoteReference"/>
          <w:sz w:val="24"/>
          <w:szCs w:val="24"/>
        </w:rPr>
        <w:footnoteReference w:id="4"/>
      </w:r>
    </w:p>
    <w:p w14:paraId="2CC8B7AE" w14:textId="1B8CFB99" w:rsidR="004D555D" w:rsidRPr="00BA5AA9" w:rsidRDefault="004D555D" w:rsidP="00BA5AA9">
      <w:pPr>
        <w:spacing w:before="120" w:after="120"/>
        <w:jc w:val="both"/>
        <w:rPr>
          <w:sz w:val="24"/>
          <w:szCs w:val="24"/>
        </w:rPr>
      </w:pPr>
      <w:bookmarkStart w:id="2" w:name="_cp_change_124"/>
      <w:bookmarkEnd w:id="2"/>
      <w:r w:rsidRPr="004D555D">
        <w:rPr>
          <w:sz w:val="24"/>
          <w:szCs w:val="24"/>
        </w:rPr>
        <w:t>Following execution of the Definitive Agreements, on or about the first day of each calendar month and weekly after physical construction has commenced and until the Commercial Operation Date is achieved, Seller shall submit to Buyer a progress report, which shall notify Buyer in reasonable detail of the current status of Facility permitting, progress toward achievement of the milestones set forth in Exhibit B and any other material information that will allow Buyer to assess the status of progress toward Commercial Operation.</w:t>
      </w:r>
    </w:p>
    <w:p w14:paraId="7654A44A" w14:textId="4250CDDD" w:rsidR="00F25E4C" w:rsidRPr="00BA5AA9" w:rsidRDefault="00E125A2" w:rsidP="00BA5AA9">
      <w:pPr>
        <w:spacing w:before="120" w:after="120"/>
        <w:jc w:val="both"/>
        <w:rPr>
          <w:b/>
          <w:bCs/>
          <w:sz w:val="24"/>
          <w:szCs w:val="24"/>
        </w:rPr>
      </w:pPr>
      <w:r>
        <w:rPr>
          <w:b/>
          <w:bCs/>
          <w:sz w:val="24"/>
          <w:szCs w:val="24"/>
        </w:rPr>
        <w:t>BUYER</w:t>
      </w:r>
      <w:r w:rsidR="00B31872" w:rsidRPr="00BA5AA9">
        <w:rPr>
          <w:b/>
          <w:bCs/>
          <w:sz w:val="24"/>
          <w:szCs w:val="24"/>
        </w:rPr>
        <w:t xml:space="preserve">’S CLOSING </w:t>
      </w:r>
      <w:r>
        <w:rPr>
          <w:b/>
          <w:bCs/>
          <w:sz w:val="24"/>
          <w:szCs w:val="24"/>
        </w:rPr>
        <w:t>CONDITIONS</w:t>
      </w:r>
    </w:p>
    <w:p w14:paraId="7654A44B" w14:textId="7B43CBFE" w:rsidR="00F25E4C" w:rsidRPr="00BA5AA9" w:rsidRDefault="00AB2447" w:rsidP="00BA5AA9">
      <w:pPr>
        <w:spacing w:before="120" w:after="120"/>
        <w:jc w:val="both"/>
        <w:rPr>
          <w:sz w:val="24"/>
          <w:szCs w:val="24"/>
        </w:rPr>
      </w:pPr>
      <w:r w:rsidRPr="00BA5AA9">
        <w:rPr>
          <w:sz w:val="24"/>
          <w:szCs w:val="24"/>
        </w:rPr>
        <w:lastRenderedPageBreak/>
        <w:t xml:space="preserve">Upon the terms and conditions to be defined within the </w:t>
      </w:r>
      <w:r w:rsidR="00327128">
        <w:rPr>
          <w:sz w:val="24"/>
          <w:szCs w:val="24"/>
        </w:rPr>
        <w:t>Definitive Agreements</w:t>
      </w:r>
      <w:r w:rsidRPr="00BA5AA9">
        <w:rPr>
          <w:sz w:val="24"/>
          <w:szCs w:val="24"/>
        </w:rPr>
        <w:t xml:space="preserve">, the obligations of Buyer to consummate the </w:t>
      </w:r>
      <w:r w:rsidR="00FE11D0">
        <w:rPr>
          <w:sz w:val="24"/>
          <w:szCs w:val="24"/>
        </w:rPr>
        <w:t>Closing and make the Closing Date payment</w:t>
      </w:r>
      <w:r w:rsidRPr="00BA5AA9">
        <w:rPr>
          <w:sz w:val="24"/>
          <w:szCs w:val="24"/>
        </w:rPr>
        <w:t xml:space="preserve"> are subject to the satisfaction by Seller of certain condition</w:t>
      </w:r>
      <w:r w:rsidR="00E51C5F">
        <w:rPr>
          <w:sz w:val="24"/>
          <w:szCs w:val="24"/>
        </w:rPr>
        <w:t>s</w:t>
      </w:r>
      <w:r w:rsidRPr="00BA5AA9">
        <w:rPr>
          <w:sz w:val="24"/>
          <w:szCs w:val="24"/>
        </w:rPr>
        <w:t>, including</w:t>
      </w:r>
      <w:r w:rsidR="00A145F1">
        <w:rPr>
          <w:sz w:val="24"/>
          <w:szCs w:val="24"/>
        </w:rPr>
        <w:t>,</w:t>
      </w:r>
      <w:r w:rsidRPr="00BA5AA9">
        <w:rPr>
          <w:sz w:val="24"/>
          <w:szCs w:val="24"/>
        </w:rPr>
        <w:t xml:space="preserve"> without limitation:</w:t>
      </w:r>
    </w:p>
    <w:p w14:paraId="7654A44C" w14:textId="58FEBE89"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Achievement of </w:t>
      </w:r>
      <w:r w:rsidR="00F34F6B">
        <w:rPr>
          <w:rFonts w:cs="Times New Roman"/>
        </w:rPr>
        <w:t>Mechanical Completion</w:t>
      </w:r>
      <w:r w:rsidR="00B10411">
        <w:rPr>
          <w:rFonts w:cs="Times New Roman"/>
        </w:rPr>
        <w:t xml:space="preserve"> in conformance with the Performance Standard, certified by Seller and confirmed by </w:t>
      </w:r>
      <w:proofErr w:type="gramStart"/>
      <w:r w:rsidR="00B10411">
        <w:rPr>
          <w:rFonts w:cs="Times New Roman"/>
        </w:rPr>
        <w:t>Buyer</w:t>
      </w:r>
      <w:r w:rsidR="00E51C5F">
        <w:rPr>
          <w:rFonts w:cs="Times New Roman"/>
        </w:rPr>
        <w:t>;</w:t>
      </w:r>
      <w:proofErr w:type="gramEnd"/>
    </w:p>
    <w:p w14:paraId="4D8B2F8E" w14:textId="4EE059A3" w:rsidR="001310E0" w:rsidRPr="001310E0" w:rsidRDefault="0045549E" w:rsidP="001310E0">
      <w:pPr>
        <w:pStyle w:val="ArticleL3"/>
        <w:widowControl w:val="0"/>
        <w:numPr>
          <w:ilvl w:val="0"/>
          <w:numId w:val="26"/>
        </w:numPr>
        <w:tabs>
          <w:tab w:val="left" w:pos="2160"/>
        </w:tabs>
        <w:spacing w:after="120"/>
        <w:contextualSpacing/>
        <w:jc w:val="both"/>
        <w:outlineLvl w:val="9"/>
        <w:rPr>
          <w:rFonts w:cs="Times New Roman"/>
        </w:rPr>
      </w:pPr>
      <w:r>
        <w:rPr>
          <w:rFonts w:cs="Times New Roman"/>
        </w:rPr>
        <w:t>Conveyance</w:t>
      </w:r>
      <w:r w:rsidR="00AB2447" w:rsidRPr="00BA5AA9">
        <w:rPr>
          <w:rFonts w:cs="Times New Roman"/>
        </w:rPr>
        <w:t xml:space="preserve"> of </w:t>
      </w:r>
      <w:r w:rsidR="00915984" w:rsidRPr="00BA5AA9">
        <w:rPr>
          <w:rFonts w:cs="Times New Roman"/>
        </w:rPr>
        <w:t>all</w:t>
      </w:r>
      <w:r w:rsidR="00413983">
        <w:rPr>
          <w:rFonts w:cs="Times New Roman"/>
        </w:rPr>
        <w:t xml:space="preserve"> the</w:t>
      </w:r>
      <w:r w:rsidR="00E51C5F">
        <w:rPr>
          <w:rFonts w:cs="Times New Roman"/>
        </w:rPr>
        <w:t xml:space="preserve"> assets of the</w:t>
      </w:r>
      <w:r w:rsidR="00413983">
        <w:rPr>
          <w:rFonts w:cs="Times New Roman"/>
        </w:rPr>
        <w:t xml:space="preserve"> Facility or</w:t>
      </w:r>
      <w:r w:rsidR="00AB2447" w:rsidRPr="00BA5AA9">
        <w:rPr>
          <w:rFonts w:cs="Times New Roman"/>
        </w:rPr>
        <w:t xml:space="preserve"> the ownership interests</w:t>
      </w:r>
      <w:r w:rsidR="00DA2797">
        <w:rPr>
          <w:rFonts w:cs="Times New Roman"/>
        </w:rPr>
        <w:t xml:space="preserve"> </w:t>
      </w:r>
      <w:r w:rsidR="006B6AFE">
        <w:rPr>
          <w:rFonts w:cs="Times New Roman"/>
        </w:rPr>
        <w:t xml:space="preserve">of </w:t>
      </w:r>
      <w:r w:rsidR="00DA2797">
        <w:rPr>
          <w:rFonts w:cs="Times New Roman"/>
        </w:rPr>
        <w:t>any entity</w:t>
      </w:r>
      <w:r w:rsidR="00D63D0B">
        <w:rPr>
          <w:rFonts w:cs="Times New Roman"/>
        </w:rPr>
        <w:t xml:space="preserve"> </w:t>
      </w:r>
      <w:r w:rsidR="00C67F26">
        <w:rPr>
          <w:rFonts w:cs="Times New Roman"/>
        </w:rPr>
        <w:t>established</w:t>
      </w:r>
      <w:r w:rsidR="00D63D0B">
        <w:rPr>
          <w:rFonts w:cs="Times New Roman"/>
        </w:rPr>
        <w:t xml:space="preserve"> for the purpose of </w:t>
      </w:r>
      <w:r w:rsidR="006B6AFE">
        <w:rPr>
          <w:rFonts w:cs="Times New Roman"/>
        </w:rPr>
        <w:t>t</w:t>
      </w:r>
      <w:r w:rsidR="00F05CF5">
        <w:rPr>
          <w:rFonts w:cs="Times New Roman"/>
        </w:rPr>
        <w:t>he transaction</w:t>
      </w:r>
      <w:r w:rsidR="00F318F3">
        <w:rPr>
          <w:rFonts w:cs="Times New Roman"/>
        </w:rPr>
        <w:t xml:space="preserve"> (“Company”)</w:t>
      </w:r>
      <w:r w:rsidR="00567442">
        <w:rPr>
          <w:rFonts w:cs="Times New Roman"/>
        </w:rPr>
        <w:t>,</w:t>
      </w:r>
      <w:r w:rsidR="00AB2447" w:rsidRPr="00BA5AA9">
        <w:rPr>
          <w:rFonts w:cs="Times New Roman"/>
        </w:rPr>
        <w:t xml:space="preserve"> which include</w:t>
      </w:r>
      <w:r w:rsidR="00B10411">
        <w:rPr>
          <w:rFonts w:cs="Times New Roman"/>
        </w:rPr>
        <w:t>s</w:t>
      </w:r>
      <w:r w:rsidR="00AB2447" w:rsidRPr="00BA5AA9">
        <w:rPr>
          <w:rFonts w:cs="Times New Roman"/>
        </w:rPr>
        <w:t xml:space="preserve"> all rights and title to assets relating to the </w:t>
      </w:r>
      <w:r w:rsidR="00E77FCD" w:rsidRPr="00BA5AA9">
        <w:rPr>
          <w:rFonts w:cs="Times New Roman"/>
        </w:rPr>
        <w:t>Facility</w:t>
      </w:r>
      <w:r w:rsidR="00AB2447" w:rsidRPr="00BA5AA9">
        <w:rPr>
          <w:rFonts w:cs="Times New Roman"/>
        </w:rPr>
        <w:t xml:space="preserve">, to Buyer or </w:t>
      </w:r>
      <w:r w:rsidR="003D0482">
        <w:rPr>
          <w:rFonts w:cs="Times New Roman"/>
        </w:rPr>
        <w:t xml:space="preserve">to </w:t>
      </w:r>
      <w:r w:rsidR="00AB2447" w:rsidRPr="00BA5AA9">
        <w:rPr>
          <w:rFonts w:cs="Times New Roman"/>
        </w:rPr>
        <w:t xml:space="preserve">its designated </w:t>
      </w:r>
      <w:proofErr w:type="gramStart"/>
      <w:r w:rsidR="00AB2447" w:rsidRPr="00BA5AA9">
        <w:rPr>
          <w:rFonts w:cs="Times New Roman"/>
        </w:rPr>
        <w:t>affiliate</w:t>
      </w:r>
      <w:r w:rsidR="00B10411">
        <w:rPr>
          <w:rFonts w:cs="Times New Roman"/>
        </w:rPr>
        <w:t>;</w:t>
      </w:r>
      <w:proofErr w:type="gramEnd"/>
    </w:p>
    <w:p w14:paraId="63695BF0" w14:textId="151E71D7" w:rsidR="001310E0" w:rsidRDefault="001310E0" w:rsidP="00BA5AA9">
      <w:pPr>
        <w:pStyle w:val="ArticleL3"/>
        <w:widowControl w:val="0"/>
        <w:numPr>
          <w:ilvl w:val="0"/>
          <w:numId w:val="26"/>
        </w:numPr>
        <w:tabs>
          <w:tab w:val="left" w:pos="2160"/>
        </w:tabs>
        <w:spacing w:after="120"/>
        <w:contextualSpacing/>
        <w:jc w:val="both"/>
        <w:outlineLvl w:val="9"/>
      </w:pPr>
      <w:r>
        <w:t xml:space="preserve">All required approvals have been obtained, as further described </w:t>
      </w:r>
      <w:proofErr w:type="gramStart"/>
      <w:r>
        <w:t>below;</w:t>
      </w:r>
      <w:proofErr w:type="gramEnd"/>
    </w:p>
    <w:p w14:paraId="62B4BB4B" w14:textId="02023F61" w:rsidR="00E125A2" w:rsidRPr="00E125A2" w:rsidRDefault="00E125A2" w:rsidP="00BA5AA9">
      <w:pPr>
        <w:pStyle w:val="ArticleL3"/>
        <w:widowControl w:val="0"/>
        <w:numPr>
          <w:ilvl w:val="0"/>
          <w:numId w:val="26"/>
        </w:numPr>
        <w:tabs>
          <w:tab w:val="left" w:pos="2160"/>
        </w:tabs>
        <w:spacing w:after="120"/>
        <w:contextualSpacing/>
        <w:jc w:val="both"/>
        <w:outlineLvl w:val="9"/>
      </w:pPr>
      <w:r>
        <w:t xml:space="preserve">Buyer financing contingencies, if any, have been </w:t>
      </w:r>
      <w:proofErr w:type="gramStart"/>
      <w:r>
        <w:t>satisfied;</w:t>
      </w:r>
      <w:proofErr w:type="gramEnd"/>
    </w:p>
    <w:p w14:paraId="7654A44F" w14:textId="21F695D1"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Buyer has received, at Seller’s sole cost</w:t>
      </w:r>
      <w:r w:rsidR="00FE11D0">
        <w:rPr>
          <w:rFonts w:cs="Times New Roman"/>
        </w:rPr>
        <w:t>,</w:t>
      </w:r>
      <w:r w:rsidR="00FE11D0" w:rsidRPr="00BA5AA9">
        <w:rPr>
          <w:rFonts w:cs="Times New Roman"/>
        </w:rPr>
        <w:t xml:space="preserve"> a legal opinion (the “</w:t>
      </w:r>
      <w:r w:rsidR="00FE11D0">
        <w:rPr>
          <w:rFonts w:cs="Times New Roman"/>
        </w:rPr>
        <w:t xml:space="preserve">Tax </w:t>
      </w:r>
      <w:r w:rsidR="00FE11D0" w:rsidRPr="00BA5AA9">
        <w:rPr>
          <w:rFonts w:cs="Times New Roman"/>
        </w:rPr>
        <w:t xml:space="preserve">Opinion”) from tax counsel selected by Buyer and in form and substance acceptable to </w:t>
      </w:r>
      <w:proofErr w:type="gramStart"/>
      <w:r w:rsidR="00FE11D0" w:rsidRPr="00BA5AA9">
        <w:rPr>
          <w:rFonts w:cs="Times New Roman"/>
        </w:rPr>
        <w:t>Buyer</w:t>
      </w:r>
      <w:r w:rsidR="00FE11D0">
        <w:rPr>
          <w:rFonts w:cs="Times New Roman"/>
        </w:rPr>
        <w:t>;</w:t>
      </w:r>
      <w:proofErr w:type="gramEnd"/>
    </w:p>
    <w:p w14:paraId="7654A450" w14:textId="4F8C730A"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Evidence that any liens on the</w:t>
      </w:r>
      <w:r w:rsidR="00600609">
        <w:rPr>
          <w:rFonts w:cs="Times New Roman"/>
        </w:rPr>
        <w:t xml:space="preserve"> Seller,</w:t>
      </w:r>
      <w:r w:rsidRPr="00BA5AA9">
        <w:rPr>
          <w:rFonts w:cs="Times New Roman"/>
        </w:rPr>
        <w:t xml:space="preserve"> Company, </w:t>
      </w:r>
      <w:r w:rsidR="00E77FCD" w:rsidRPr="00BA5AA9">
        <w:rPr>
          <w:rFonts w:cs="Times New Roman"/>
        </w:rPr>
        <w:t>Facility</w:t>
      </w:r>
      <w:r w:rsidRPr="00BA5AA9">
        <w:rPr>
          <w:rFonts w:cs="Times New Roman"/>
        </w:rPr>
        <w:t xml:space="preserve">, real property or any other assets or interests of the Company have been removed as of the Closing </w:t>
      </w:r>
      <w:r w:rsidR="009455CA">
        <w:rPr>
          <w:rFonts w:cs="Times New Roman"/>
        </w:rPr>
        <w:t>Date</w:t>
      </w:r>
      <w:r w:rsidR="00156AF7">
        <w:rPr>
          <w:rFonts w:cs="Times New Roman"/>
        </w:rPr>
        <w:t>,</w:t>
      </w:r>
      <w:r w:rsidR="009455CA">
        <w:rPr>
          <w:rFonts w:cs="Times New Roman"/>
        </w:rPr>
        <w:t xml:space="preserve"> </w:t>
      </w:r>
      <w:r w:rsidRPr="00BA5AA9">
        <w:rPr>
          <w:rFonts w:cs="Times New Roman"/>
        </w:rPr>
        <w:t xml:space="preserve">other than permitted liens which have been scheduled or liens which have been scheduled and bonded to Buyer’s </w:t>
      </w:r>
      <w:proofErr w:type="gramStart"/>
      <w:r w:rsidRPr="00BA5AA9">
        <w:rPr>
          <w:rFonts w:cs="Times New Roman"/>
        </w:rPr>
        <w:t>satisfaction</w:t>
      </w:r>
      <w:r w:rsidR="00FD31C3">
        <w:rPr>
          <w:rFonts w:cs="Times New Roman"/>
        </w:rPr>
        <w:t>;</w:t>
      </w:r>
      <w:proofErr w:type="gramEnd"/>
    </w:p>
    <w:p w14:paraId="7654A451" w14:textId="7F2A6E06"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Seller has </w:t>
      </w:r>
      <w:r w:rsidR="003C7D97">
        <w:rPr>
          <w:rFonts w:cs="Times New Roman"/>
        </w:rPr>
        <w:t>provided</w:t>
      </w:r>
      <w:r w:rsidRPr="00BA5AA9">
        <w:rPr>
          <w:rFonts w:cs="Times New Roman"/>
        </w:rPr>
        <w:t xml:space="preserve"> all certifications required to demonstrate satisfaction of all representations, warranties and covenants made by Selle</w:t>
      </w:r>
      <w:r w:rsidR="003C7D97">
        <w:rPr>
          <w:rFonts w:cs="Times New Roman"/>
        </w:rPr>
        <w:t>r</w:t>
      </w:r>
      <w:r w:rsidRPr="00BA5AA9">
        <w:rPr>
          <w:rFonts w:cs="Times New Roman"/>
        </w:rPr>
        <w:t xml:space="preserve"> pertaining to the </w:t>
      </w:r>
      <w:proofErr w:type="gramStart"/>
      <w:r w:rsidR="003C7D97">
        <w:rPr>
          <w:rFonts w:cs="Times New Roman"/>
        </w:rPr>
        <w:t>C</w:t>
      </w:r>
      <w:r w:rsidRPr="00BA5AA9">
        <w:rPr>
          <w:rFonts w:cs="Times New Roman"/>
        </w:rPr>
        <w:t>losing</w:t>
      </w:r>
      <w:r w:rsidR="00FD31C3">
        <w:rPr>
          <w:rFonts w:cs="Times New Roman"/>
        </w:rPr>
        <w:t>;</w:t>
      </w:r>
      <w:proofErr w:type="gramEnd"/>
    </w:p>
    <w:p w14:paraId="5AD3FE1F" w14:textId="77777777" w:rsidR="00FD31C3" w:rsidRDefault="00AB2447" w:rsidP="00FD31C3">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Seller has delivered the title insurance commitment and title policy (premium to be paid by Seller)</w:t>
      </w:r>
      <w:r w:rsidR="00FD31C3">
        <w:rPr>
          <w:rFonts w:cs="Times New Roman"/>
        </w:rPr>
        <w:t>; and,</w:t>
      </w:r>
    </w:p>
    <w:p w14:paraId="19E564BF" w14:textId="264F0CBC" w:rsidR="00FD31C3" w:rsidRPr="00FD31C3" w:rsidRDefault="00FD31C3" w:rsidP="00FD31C3">
      <w:pPr>
        <w:pStyle w:val="ArticleL3"/>
        <w:widowControl w:val="0"/>
        <w:numPr>
          <w:ilvl w:val="0"/>
          <w:numId w:val="26"/>
        </w:numPr>
        <w:tabs>
          <w:tab w:val="left" w:pos="2160"/>
        </w:tabs>
        <w:spacing w:after="120"/>
        <w:contextualSpacing/>
        <w:jc w:val="both"/>
        <w:outlineLvl w:val="9"/>
        <w:rPr>
          <w:rFonts w:cs="Times New Roman"/>
        </w:rPr>
      </w:pPr>
      <w:r>
        <w:t>Other customary conditions, depend</w:t>
      </w:r>
      <w:r w:rsidR="00F94B7F">
        <w:t>ent</w:t>
      </w:r>
      <w:r>
        <w:t xml:space="preserve"> on transaction structure, have been met.</w:t>
      </w:r>
    </w:p>
    <w:p w14:paraId="7654A454" w14:textId="1E56A372" w:rsidR="00F25E4C" w:rsidRPr="00BA5AA9" w:rsidRDefault="00E125A2" w:rsidP="00BA5AA9">
      <w:pPr>
        <w:spacing w:before="120" w:after="120"/>
        <w:rPr>
          <w:b/>
          <w:bCs/>
          <w:sz w:val="24"/>
          <w:szCs w:val="24"/>
        </w:rPr>
      </w:pPr>
      <w:r>
        <w:rPr>
          <w:b/>
          <w:bCs/>
          <w:sz w:val="24"/>
          <w:szCs w:val="24"/>
        </w:rPr>
        <w:t>SELLER</w:t>
      </w:r>
      <w:r w:rsidR="00B31872" w:rsidRPr="00BA5AA9">
        <w:rPr>
          <w:b/>
          <w:bCs/>
          <w:sz w:val="24"/>
          <w:szCs w:val="24"/>
        </w:rPr>
        <w:t xml:space="preserve">’S CLOSING </w:t>
      </w:r>
      <w:r>
        <w:rPr>
          <w:b/>
          <w:bCs/>
          <w:sz w:val="24"/>
          <w:szCs w:val="24"/>
        </w:rPr>
        <w:t>CONDITIONS</w:t>
      </w:r>
    </w:p>
    <w:p w14:paraId="7654A455" w14:textId="65C6AC52" w:rsidR="00F25E4C" w:rsidRPr="00BA5AA9" w:rsidRDefault="00AB2447" w:rsidP="00BA5AA9">
      <w:pPr>
        <w:spacing w:before="120" w:after="120"/>
        <w:jc w:val="both"/>
        <w:rPr>
          <w:sz w:val="24"/>
          <w:szCs w:val="24"/>
        </w:rPr>
      </w:pPr>
      <w:r w:rsidRPr="00BA5AA9">
        <w:rPr>
          <w:sz w:val="24"/>
          <w:szCs w:val="24"/>
        </w:rPr>
        <w:t xml:space="preserve">Upon the terms and conditions to be defined within the </w:t>
      </w:r>
      <w:r w:rsidR="00327128">
        <w:rPr>
          <w:sz w:val="24"/>
          <w:szCs w:val="24"/>
        </w:rPr>
        <w:t>Definitive Agreements</w:t>
      </w:r>
      <w:r w:rsidRPr="00BA5AA9">
        <w:rPr>
          <w:sz w:val="24"/>
          <w:szCs w:val="24"/>
        </w:rPr>
        <w:t>, the obligations of Seller to consummate the</w:t>
      </w:r>
      <w:r w:rsidR="003C7D97">
        <w:rPr>
          <w:sz w:val="24"/>
          <w:szCs w:val="24"/>
        </w:rPr>
        <w:t xml:space="preserve"> Closing are </w:t>
      </w:r>
      <w:r w:rsidRPr="00BA5AA9">
        <w:rPr>
          <w:sz w:val="24"/>
          <w:szCs w:val="24"/>
        </w:rPr>
        <w:t>subject to the satisfaction by Buyer of certain conditions as of the Closing date, including</w:t>
      </w:r>
      <w:r w:rsidR="00A145F1">
        <w:rPr>
          <w:sz w:val="24"/>
          <w:szCs w:val="24"/>
        </w:rPr>
        <w:t>,</w:t>
      </w:r>
      <w:r w:rsidRPr="00BA5AA9">
        <w:rPr>
          <w:sz w:val="24"/>
          <w:szCs w:val="24"/>
        </w:rPr>
        <w:t xml:space="preserve"> without limitation:</w:t>
      </w:r>
    </w:p>
    <w:p w14:paraId="7654A456" w14:textId="7D2EA879" w:rsidR="00F25E4C" w:rsidRPr="00F94B7F" w:rsidRDefault="00AB2447" w:rsidP="00F94B7F">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 xml:space="preserve">Payment of the Purchase Price installment due on the Closing </w:t>
      </w:r>
      <w:r w:rsidR="009455CA">
        <w:rPr>
          <w:rFonts w:cs="Times New Roman"/>
        </w:rPr>
        <w:t>D</w:t>
      </w:r>
      <w:r w:rsidRPr="00BA5AA9">
        <w:rPr>
          <w:rFonts w:cs="Times New Roman"/>
        </w:rPr>
        <w:t xml:space="preserve">ate, subject to certain </w:t>
      </w:r>
      <w:r w:rsidRPr="00F94B7F">
        <w:rPr>
          <w:rFonts w:cs="Times New Roman"/>
        </w:rPr>
        <w:t>adjustments</w:t>
      </w:r>
      <w:r w:rsidR="003C7D97" w:rsidRPr="00F94B7F">
        <w:rPr>
          <w:rFonts w:cs="Times New Roman"/>
        </w:rPr>
        <w:t>; and,</w:t>
      </w:r>
    </w:p>
    <w:p w14:paraId="710B481E" w14:textId="5376FF5E" w:rsidR="000769A7" w:rsidRPr="000769A7" w:rsidRDefault="00AB2447" w:rsidP="000769A7">
      <w:pPr>
        <w:pStyle w:val="ArticleL3"/>
        <w:widowControl w:val="0"/>
        <w:numPr>
          <w:ilvl w:val="0"/>
          <w:numId w:val="26"/>
        </w:numPr>
        <w:tabs>
          <w:tab w:val="left" w:pos="2160"/>
        </w:tabs>
        <w:spacing w:after="120"/>
        <w:contextualSpacing/>
        <w:jc w:val="both"/>
        <w:outlineLvl w:val="9"/>
      </w:pPr>
      <w:r w:rsidRPr="00BA5AA9">
        <w:rPr>
          <w:rFonts w:cs="Times New Roman"/>
        </w:rPr>
        <w:t xml:space="preserve">Buyer </w:t>
      </w:r>
      <w:r w:rsidR="003C7D97">
        <w:rPr>
          <w:rFonts w:cs="Times New Roman"/>
        </w:rPr>
        <w:t xml:space="preserve">has provided </w:t>
      </w:r>
      <w:r w:rsidR="003C7D97" w:rsidRPr="00BA5AA9">
        <w:rPr>
          <w:rFonts w:cs="Times New Roman"/>
        </w:rPr>
        <w:t>all certification</w:t>
      </w:r>
      <w:r w:rsidR="003C7D97">
        <w:rPr>
          <w:rFonts w:cs="Times New Roman"/>
        </w:rPr>
        <w:t>s</w:t>
      </w:r>
      <w:r w:rsidR="003C7D97" w:rsidRPr="00BA5AA9">
        <w:rPr>
          <w:rFonts w:cs="Times New Roman"/>
        </w:rPr>
        <w:t xml:space="preserve"> required to demonstrate satisfaction of all representations, warranties and covenants made by </w:t>
      </w:r>
      <w:r w:rsidR="003C7D97">
        <w:rPr>
          <w:rFonts w:cs="Times New Roman"/>
        </w:rPr>
        <w:t>Buyer</w:t>
      </w:r>
      <w:r w:rsidR="003C7D97" w:rsidRPr="00BA5AA9">
        <w:rPr>
          <w:rFonts w:cs="Times New Roman"/>
        </w:rPr>
        <w:t xml:space="preserve"> pertaining to the </w:t>
      </w:r>
      <w:r w:rsidR="003C7D97">
        <w:rPr>
          <w:rFonts w:cs="Times New Roman"/>
        </w:rPr>
        <w:t>C</w:t>
      </w:r>
      <w:r w:rsidR="003C7D97" w:rsidRPr="00BA5AA9">
        <w:rPr>
          <w:rFonts w:cs="Times New Roman"/>
        </w:rPr>
        <w:t>losing</w:t>
      </w:r>
      <w:r w:rsidR="003C7D97">
        <w:rPr>
          <w:rFonts w:cs="Times New Roman"/>
        </w:rPr>
        <w:t>.</w:t>
      </w:r>
    </w:p>
    <w:p w14:paraId="7654A459" w14:textId="43A376A4" w:rsidR="00F25E4C" w:rsidRPr="00BA5AA9" w:rsidRDefault="00B31872" w:rsidP="00BA5AA9">
      <w:pPr>
        <w:spacing w:before="120" w:after="120"/>
        <w:rPr>
          <w:b/>
          <w:bCs/>
          <w:sz w:val="24"/>
          <w:szCs w:val="24"/>
        </w:rPr>
      </w:pPr>
      <w:r w:rsidRPr="00BA5AA9">
        <w:rPr>
          <w:b/>
          <w:bCs/>
          <w:sz w:val="24"/>
          <w:szCs w:val="24"/>
        </w:rPr>
        <w:t>REQUIRED APPROVALS</w:t>
      </w:r>
    </w:p>
    <w:p w14:paraId="7654A45A" w14:textId="1E41655D" w:rsidR="00F25E4C" w:rsidRPr="00BA5AA9" w:rsidRDefault="00413983" w:rsidP="00D71C36">
      <w:pPr>
        <w:spacing w:before="120" w:after="120"/>
        <w:jc w:val="both"/>
        <w:rPr>
          <w:sz w:val="24"/>
          <w:szCs w:val="24"/>
        </w:rPr>
      </w:pPr>
      <w:r>
        <w:rPr>
          <w:sz w:val="24"/>
          <w:szCs w:val="24"/>
        </w:rPr>
        <w:t>Buyer’s obligation to complete the</w:t>
      </w:r>
      <w:r w:rsidR="00AB2447" w:rsidRPr="00BA5AA9">
        <w:rPr>
          <w:sz w:val="24"/>
          <w:szCs w:val="24"/>
        </w:rPr>
        <w:t xml:space="preserve"> transaction is subject to obtaining specified approvals, authorizations or orders, on or </w:t>
      </w:r>
      <w:r w:rsidR="005E34E4">
        <w:rPr>
          <w:sz w:val="24"/>
          <w:szCs w:val="24"/>
        </w:rPr>
        <w:t xml:space="preserve">prior to the Commencement Date, the </w:t>
      </w:r>
      <w:r w:rsidR="00F34F6B">
        <w:rPr>
          <w:sz w:val="24"/>
          <w:szCs w:val="24"/>
        </w:rPr>
        <w:t>Mechanical Completion</w:t>
      </w:r>
      <w:r w:rsidR="005E34E4">
        <w:rPr>
          <w:sz w:val="24"/>
          <w:szCs w:val="24"/>
        </w:rPr>
        <w:t xml:space="preserve"> Date and</w:t>
      </w:r>
      <w:r w:rsidR="00AB2447" w:rsidRPr="00BA5AA9">
        <w:rPr>
          <w:sz w:val="24"/>
          <w:szCs w:val="24"/>
        </w:rPr>
        <w:t xml:space="preserve"> the Closing </w:t>
      </w:r>
      <w:r w:rsidR="009455CA">
        <w:rPr>
          <w:sz w:val="24"/>
          <w:szCs w:val="24"/>
        </w:rPr>
        <w:t>D</w:t>
      </w:r>
      <w:r w:rsidR="00AB2447" w:rsidRPr="00BA5AA9">
        <w:rPr>
          <w:sz w:val="24"/>
          <w:szCs w:val="24"/>
        </w:rPr>
        <w:t>ate, including</w:t>
      </w:r>
      <w:r w:rsidR="00A145F1">
        <w:rPr>
          <w:sz w:val="24"/>
          <w:szCs w:val="24"/>
        </w:rPr>
        <w:t>,</w:t>
      </w:r>
      <w:r w:rsidR="00AB2447" w:rsidRPr="00BA5AA9">
        <w:rPr>
          <w:sz w:val="24"/>
          <w:szCs w:val="24"/>
        </w:rPr>
        <w:t xml:space="preserve"> without limitation (to the extent necessary):</w:t>
      </w:r>
    </w:p>
    <w:p w14:paraId="01B8C8AB" w14:textId="44BB269F" w:rsidR="001310E0" w:rsidRPr="001310E0" w:rsidRDefault="00AB2447" w:rsidP="00D71C36">
      <w:pPr>
        <w:pStyle w:val="ArticleL3"/>
        <w:widowControl w:val="0"/>
        <w:numPr>
          <w:ilvl w:val="0"/>
          <w:numId w:val="26"/>
        </w:numPr>
        <w:tabs>
          <w:tab w:val="left" w:pos="2160"/>
        </w:tabs>
        <w:spacing w:after="120"/>
        <w:contextualSpacing/>
        <w:jc w:val="both"/>
        <w:outlineLvl w:val="9"/>
      </w:pPr>
      <w:r w:rsidRPr="00BA5AA9">
        <w:rPr>
          <w:rFonts w:cs="Times New Roman"/>
        </w:rPr>
        <w:t xml:space="preserve">Approval of the board of directors of Buyer and the board of directors or similar governing body of Seller prior to execution of the </w:t>
      </w:r>
      <w:r w:rsidR="00327128">
        <w:rPr>
          <w:rFonts w:cs="Times New Roman"/>
        </w:rPr>
        <w:t xml:space="preserve">Definitive </w:t>
      </w:r>
      <w:proofErr w:type="gramStart"/>
      <w:r w:rsidR="00327128">
        <w:rPr>
          <w:rFonts w:cs="Times New Roman"/>
        </w:rPr>
        <w:t>Agreements</w:t>
      </w:r>
      <w:r w:rsidR="00FB7555">
        <w:rPr>
          <w:rFonts w:cs="Times New Roman"/>
        </w:rPr>
        <w:t>;</w:t>
      </w:r>
      <w:proofErr w:type="gramEnd"/>
    </w:p>
    <w:p w14:paraId="7654A45C" w14:textId="22E68C2D"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Third party consents</w:t>
      </w:r>
      <w:r w:rsidR="00FB7555">
        <w:rPr>
          <w:rFonts w:cs="Times New Roman"/>
        </w:rPr>
        <w:t>; and,</w:t>
      </w:r>
    </w:p>
    <w:p w14:paraId="7654A45F" w14:textId="0B4E2B4D"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Applicable governmental and regulatory approvals </w:t>
      </w:r>
      <w:r w:rsidR="00A65CD1">
        <w:rPr>
          <w:rFonts w:cs="Times New Roman"/>
        </w:rPr>
        <w:t>for</w:t>
      </w:r>
      <w:r w:rsidRPr="00BA5AA9">
        <w:rPr>
          <w:rFonts w:cs="Times New Roman"/>
        </w:rPr>
        <w:t xml:space="preserve"> Closing, including</w:t>
      </w:r>
      <w:r w:rsidR="008B3B0C">
        <w:rPr>
          <w:rFonts w:cs="Times New Roman"/>
        </w:rPr>
        <w:t>,</w:t>
      </w:r>
      <w:r w:rsidRPr="00BA5AA9">
        <w:rPr>
          <w:rFonts w:cs="Times New Roman"/>
        </w:rPr>
        <w:t xml:space="preserve"> to the extent necessary, any applicable state agencies or commissions regulating utility activities and any government agencies having approval, consent or authority over the transactions contemplated by the </w:t>
      </w:r>
      <w:r w:rsidR="00327128">
        <w:rPr>
          <w:rFonts w:cs="Times New Roman"/>
        </w:rPr>
        <w:t>Definitive Agreements</w:t>
      </w:r>
      <w:r w:rsidRPr="00BA5AA9">
        <w:rPr>
          <w:rFonts w:cs="Times New Roman"/>
        </w:rPr>
        <w:t>, including</w:t>
      </w:r>
      <w:r w:rsidR="00A145F1">
        <w:rPr>
          <w:rFonts w:cs="Times New Roman"/>
        </w:rPr>
        <w:t>,</w:t>
      </w:r>
      <w:r w:rsidRPr="00BA5AA9">
        <w:rPr>
          <w:rFonts w:cs="Times New Roman"/>
        </w:rPr>
        <w:t xml:space="preserve"> without limitation</w:t>
      </w:r>
      <w:r w:rsidR="00A145F1">
        <w:rPr>
          <w:rFonts w:cs="Times New Roman"/>
        </w:rPr>
        <w:t>,</w:t>
      </w:r>
      <w:r w:rsidRPr="00BA5AA9">
        <w:rPr>
          <w:rFonts w:cs="Times New Roman"/>
        </w:rPr>
        <w:t xml:space="preserve"> the MPUC, the FERC, the Department of Justice, the US Fish and Wildlife Service and the FAA. All such approvals shall have been obtained in form and substance acceptable to Buyer in its sole discretion and </w:t>
      </w:r>
      <w:r w:rsidR="00DA6767">
        <w:rPr>
          <w:rFonts w:cs="Times New Roman"/>
        </w:rPr>
        <w:t>shall be</w:t>
      </w:r>
      <w:r w:rsidR="00DA6767" w:rsidRPr="00BA5AA9">
        <w:rPr>
          <w:rFonts w:cs="Times New Roman"/>
        </w:rPr>
        <w:t xml:space="preserve"> </w:t>
      </w:r>
      <w:r w:rsidRPr="00BA5AA9">
        <w:rPr>
          <w:rFonts w:cs="Times New Roman"/>
        </w:rPr>
        <w:t>final and non-appealable.</w:t>
      </w:r>
    </w:p>
    <w:p w14:paraId="7654A461" w14:textId="1FB14117" w:rsidR="00F25E4C" w:rsidRPr="00BA5AA9" w:rsidRDefault="00B31872" w:rsidP="00BA5AA9">
      <w:pPr>
        <w:spacing w:before="120" w:after="120"/>
        <w:rPr>
          <w:b/>
          <w:bCs/>
          <w:sz w:val="24"/>
          <w:szCs w:val="24"/>
        </w:rPr>
      </w:pPr>
      <w:r w:rsidRPr="00BA5AA9">
        <w:rPr>
          <w:b/>
          <w:bCs/>
          <w:sz w:val="24"/>
          <w:szCs w:val="24"/>
        </w:rPr>
        <w:t>REPRESENTATIONS AND WARRANTIES</w:t>
      </w:r>
    </w:p>
    <w:p w14:paraId="7654A462" w14:textId="47B51A63" w:rsidR="00F25E4C" w:rsidRPr="00BA5AA9" w:rsidRDefault="00AB2447" w:rsidP="001310E0">
      <w:pPr>
        <w:spacing w:before="120" w:after="120"/>
        <w:jc w:val="both"/>
        <w:rPr>
          <w:sz w:val="24"/>
          <w:szCs w:val="24"/>
        </w:rPr>
      </w:pPr>
      <w:r w:rsidRPr="00BA5AA9">
        <w:rPr>
          <w:sz w:val="24"/>
          <w:szCs w:val="24"/>
        </w:rPr>
        <w:lastRenderedPageBreak/>
        <w:t xml:space="preserve">The transaction is subject to customary representations and warranties to be made by Buyer and Seller as of the execution date or the effective date of the </w:t>
      </w:r>
      <w:r w:rsidR="00327128">
        <w:rPr>
          <w:sz w:val="24"/>
          <w:szCs w:val="24"/>
        </w:rPr>
        <w:t>Definitive Agreements</w:t>
      </w:r>
      <w:r w:rsidRPr="00BA5AA9">
        <w:rPr>
          <w:sz w:val="24"/>
          <w:szCs w:val="24"/>
        </w:rPr>
        <w:t xml:space="preserve">, the </w:t>
      </w:r>
      <w:r w:rsidR="008F5BE5" w:rsidRPr="00BA5AA9">
        <w:rPr>
          <w:sz w:val="24"/>
          <w:szCs w:val="24"/>
        </w:rPr>
        <w:t>Commencement Date</w:t>
      </w:r>
      <w:r w:rsidRPr="00BA5AA9">
        <w:rPr>
          <w:sz w:val="24"/>
          <w:szCs w:val="24"/>
        </w:rPr>
        <w:t xml:space="preserve"> and the Closing </w:t>
      </w:r>
      <w:r w:rsidR="00FB7555">
        <w:rPr>
          <w:sz w:val="24"/>
          <w:szCs w:val="24"/>
        </w:rPr>
        <w:t>D</w:t>
      </w:r>
      <w:r w:rsidRPr="00BA5AA9">
        <w:rPr>
          <w:sz w:val="24"/>
          <w:szCs w:val="24"/>
        </w:rPr>
        <w:t>ate thereunder, including</w:t>
      </w:r>
      <w:r w:rsidR="00A145F1">
        <w:rPr>
          <w:sz w:val="24"/>
          <w:szCs w:val="24"/>
        </w:rPr>
        <w:t>,</w:t>
      </w:r>
      <w:r w:rsidRPr="00BA5AA9">
        <w:rPr>
          <w:sz w:val="24"/>
          <w:szCs w:val="24"/>
        </w:rPr>
        <w:t xml:space="preserve"> without limitation</w:t>
      </w:r>
      <w:r w:rsidR="00FB7555">
        <w:rPr>
          <w:sz w:val="24"/>
          <w:szCs w:val="24"/>
        </w:rPr>
        <w:t xml:space="preserve"> (and subject to scheduled exclusions)</w:t>
      </w:r>
      <w:r w:rsidR="00294C4A">
        <w:rPr>
          <w:rStyle w:val="FootnoteReference"/>
          <w:sz w:val="24"/>
          <w:szCs w:val="24"/>
        </w:rPr>
        <w:footnoteReference w:id="5"/>
      </w:r>
      <w:r w:rsidRPr="00BA5AA9">
        <w:rPr>
          <w:sz w:val="24"/>
          <w:szCs w:val="24"/>
        </w:rPr>
        <w:t>:</w:t>
      </w:r>
    </w:p>
    <w:p w14:paraId="7654A463" w14:textId="034CEB22"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Corporate existence and powers – Seller </w:t>
      </w:r>
      <w:proofErr w:type="gramStart"/>
      <w:r w:rsidRPr="00BA5AA9">
        <w:rPr>
          <w:rFonts w:cs="Times New Roman"/>
        </w:rPr>
        <w:t>is</w:t>
      </w:r>
      <w:proofErr w:type="gramEnd"/>
      <w:r w:rsidRPr="00BA5AA9">
        <w:rPr>
          <w:rFonts w:cs="Times New Roman"/>
        </w:rPr>
        <w:t xml:space="preserve"> a </w:t>
      </w:r>
      <w:r w:rsidRPr="00BA5AA9">
        <w:rPr>
          <w:rFonts w:cs="Times New Roman"/>
          <w:highlight w:val="yellow"/>
        </w:rPr>
        <w:t>[corporation</w:t>
      </w:r>
      <w:r w:rsidRPr="003E0BB4">
        <w:rPr>
          <w:rFonts w:cs="Times New Roman"/>
          <w:highlight w:val="yellow"/>
        </w:rPr>
        <w:t>]</w:t>
      </w:r>
      <w:r w:rsidRPr="00BA5AA9">
        <w:rPr>
          <w:rFonts w:cs="Times New Roman"/>
        </w:rPr>
        <w:t xml:space="preserve"> validly existing and in good standing and has the power and authority to conduct its business as now conducted</w:t>
      </w:r>
      <w:r w:rsidR="00691DA8">
        <w:rPr>
          <w:rFonts w:cs="Times New Roman"/>
        </w:rPr>
        <w:t>;</w:t>
      </w:r>
    </w:p>
    <w:p w14:paraId="7654A464" w14:textId="75344C9A"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Company existence and powers – the Company is a limited liability company validly existing and in good standing and has the power and authority to develop, construct, operate and own the </w:t>
      </w:r>
      <w:r w:rsidR="00E77FCD" w:rsidRPr="00BA5AA9">
        <w:rPr>
          <w:rFonts w:cs="Times New Roman"/>
        </w:rPr>
        <w:t>Facility</w:t>
      </w:r>
      <w:r w:rsidRPr="00BA5AA9">
        <w:rPr>
          <w:rFonts w:cs="Times New Roman"/>
        </w:rPr>
        <w:t xml:space="preserve"> and has been engaged in no other business since its </w:t>
      </w:r>
      <w:proofErr w:type="gramStart"/>
      <w:r w:rsidRPr="00BA5AA9">
        <w:rPr>
          <w:rFonts w:cs="Times New Roman"/>
        </w:rPr>
        <w:t>formation</w:t>
      </w:r>
      <w:r w:rsidR="00691DA8">
        <w:rPr>
          <w:rFonts w:cs="Times New Roman"/>
        </w:rPr>
        <w:t>;</w:t>
      </w:r>
      <w:proofErr w:type="gramEnd"/>
    </w:p>
    <w:p w14:paraId="7654A465" w14:textId="004A5E0F" w:rsidR="00F25E4C" w:rsidRPr="00BA5AA9" w:rsidRDefault="00151622" w:rsidP="00BA5AA9">
      <w:pPr>
        <w:pStyle w:val="ArticleL3"/>
        <w:widowControl w:val="0"/>
        <w:numPr>
          <w:ilvl w:val="0"/>
          <w:numId w:val="26"/>
        </w:numPr>
        <w:tabs>
          <w:tab w:val="left" w:pos="2160"/>
        </w:tabs>
        <w:spacing w:after="120"/>
        <w:contextualSpacing/>
        <w:jc w:val="both"/>
        <w:outlineLvl w:val="9"/>
      </w:pPr>
      <w:r>
        <w:rPr>
          <w:rFonts w:cs="Times New Roman"/>
        </w:rPr>
        <w:t>The Company/Seller have a</w:t>
      </w:r>
      <w:r w:rsidR="00AB2447" w:rsidRPr="00BA5AA9">
        <w:rPr>
          <w:rFonts w:cs="Times New Roman"/>
        </w:rPr>
        <w:t xml:space="preserve">uthority </w:t>
      </w:r>
      <w:r>
        <w:rPr>
          <w:rFonts w:cs="Times New Roman"/>
        </w:rPr>
        <w:t xml:space="preserve">to </w:t>
      </w:r>
      <w:r w:rsidR="00AB2447" w:rsidRPr="00BA5AA9">
        <w:rPr>
          <w:rFonts w:cs="Times New Roman"/>
        </w:rPr>
        <w:t>execut</w:t>
      </w:r>
      <w:r>
        <w:rPr>
          <w:rFonts w:cs="Times New Roman"/>
        </w:rPr>
        <w:t>e</w:t>
      </w:r>
      <w:r w:rsidR="00AB2447" w:rsidRPr="00BA5AA9">
        <w:rPr>
          <w:rFonts w:cs="Times New Roman"/>
        </w:rPr>
        <w:t xml:space="preserve"> and deliver</w:t>
      </w:r>
      <w:r>
        <w:rPr>
          <w:rFonts w:cs="Times New Roman"/>
        </w:rPr>
        <w:t xml:space="preserve"> the Definitive </w:t>
      </w:r>
      <w:proofErr w:type="gramStart"/>
      <w:r>
        <w:rPr>
          <w:rFonts w:cs="Times New Roman"/>
        </w:rPr>
        <w:t>Agreements;</w:t>
      </w:r>
      <w:proofErr w:type="gramEnd"/>
    </w:p>
    <w:p w14:paraId="7654A466" w14:textId="27D23EA2"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No conflicts </w:t>
      </w:r>
      <w:r w:rsidR="00D8260B">
        <w:rPr>
          <w:rFonts w:cs="Times New Roman"/>
        </w:rPr>
        <w:t>–</w:t>
      </w:r>
      <w:r w:rsidRPr="00BA5AA9">
        <w:rPr>
          <w:rFonts w:cs="Times New Roman"/>
        </w:rPr>
        <w:t xml:space="preserve"> the</w:t>
      </w:r>
      <w:r w:rsidR="00D8260B">
        <w:rPr>
          <w:rFonts w:cs="Times New Roman"/>
        </w:rPr>
        <w:t xml:space="preserve"> </w:t>
      </w:r>
      <w:r w:rsidRPr="00BA5AA9">
        <w:rPr>
          <w:rFonts w:cs="Times New Roman"/>
        </w:rPr>
        <w:t xml:space="preserve">transaction does not create any </w:t>
      </w:r>
      <w:proofErr w:type="gramStart"/>
      <w:r w:rsidRPr="00BA5AA9">
        <w:rPr>
          <w:rFonts w:cs="Times New Roman"/>
        </w:rPr>
        <w:t>conflicts</w:t>
      </w:r>
      <w:r w:rsidR="00691DA8">
        <w:rPr>
          <w:rFonts w:cs="Times New Roman"/>
        </w:rPr>
        <w:t>;</w:t>
      </w:r>
      <w:proofErr w:type="gramEnd"/>
    </w:p>
    <w:p w14:paraId="7654A467" w14:textId="670DA1A0"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Consents and approvals – no consent, approval or authorization is required in connection with the execution and performance of the </w:t>
      </w:r>
      <w:r w:rsidR="00327128">
        <w:rPr>
          <w:rFonts w:cs="Times New Roman"/>
        </w:rPr>
        <w:t xml:space="preserve">Definitive </w:t>
      </w:r>
      <w:proofErr w:type="gramStart"/>
      <w:r w:rsidR="00327128">
        <w:rPr>
          <w:rFonts w:cs="Times New Roman"/>
        </w:rPr>
        <w:t>Agreements</w:t>
      </w:r>
      <w:r w:rsidR="00691DA8">
        <w:rPr>
          <w:rFonts w:cs="Times New Roman"/>
        </w:rPr>
        <w:t>;</w:t>
      </w:r>
      <w:proofErr w:type="gramEnd"/>
    </w:p>
    <w:p w14:paraId="7654A468" w14:textId="1B797F17"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Legal proceedings of Buyer – there are no legal proceedings pending, or to Buyer’s knowledge, threatened, against Buyer that affect the consummation of the transaction contemplated by the </w:t>
      </w:r>
      <w:r w:rsidR="00327128">
        <w:rPr>
          <w:rFonts w:cs="Times New Roman"/>
        </w:rPr>
        <w:t xml:space="preserve">Definitive </w:t>
      </w:r>
      <w:proofErr w:type="gramStart"/>
      <w:r w:rsidR="00327128">
        <w:rPr>
          <w:rFonts w:cs="Times New Roman"/>
        </w:rPr>
        <w:t>Agreements</w:t>
      </w:r>
      <w:r w:rsidR="00691DA8">
        <w:rPr>
          <w:rFonts w:cs="Times New Roman"/>
        </w:rPr>
        <w:t>;</w:t>
      </w:r>
      <w:proofErr w:type="gramEnd"/>
    </w:p>
    <w:p w14:paraId="7654A46A" w14:textId="7C4364D4"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Legal proceedings of Seller and Company – there are no legal proceedings pending, or to Seller’s knowledge, threatened, against (</w:t>
      </w:r>
      <w:proofErr w:type="spellStart"/>
      <w:r w:rsidRPr="00BA5AA9">
        <w:rPr>
          <w:rFonts w:cs="Times New Roman"/>
        </w:rPr>
        <w:t>i</w:t>
      </w:r>
      <w:proofErr w:type="spellEnd"/>
      <w:r w:rsidRPr="00BA5AA9">
        <w:rPr>
          <w:rFonts w:cs="Times New Roman"/>
        </w:rPr>
        <w:t xml:space="preserve">) Seller relating to the </w:t>
      </w:r>
      <w:r w:rsidR="00E77FCD" w:rsidRPr="00BA5AA9">
        <w:rPr>
          <w:rFonts w:cs="Times New Roman"/>
        </w:rPr>
        <w:t>Facility</w:t>
      </w:r>
      <w:r w:rsidRPr="00BA5AA9">
        <w:rPr>
          <w:rFonts w:cs="Times New Roman"/>
        </w:rPr>
        <w:t xml:space="preserve"> or affecting Seller’s ability to sell the Company or (ii) the Company or the </w:t>
      </w:r>
      <w:r w:rsidR="00E77FCD" w:rsidRPr="00BA5AA9">
        <w:rPr>
          <w:rFonts w:cs="Times New Roman"/>
        </w:rPr>
        <w:t>Facility</w:t>
      </w:r>
      <w:r w:rsidRPr="00BA5AA9">
        <w:rPr>
          <w:rFonts w:cs="Times New Roman"/>
        </w:rPr>
        <w:t xml:space="preserve">, and there are no material legal proceedings pending, or to Seller’s knowledge, threatened, against (x) the Company relating to the </w:t>
      </w:r>
      <w:r w:rsidR="00E77FCD" w:rsidRPr="00BA5AA9">
        <w:rPr>
          <w:rFonts w:cs="Times New Roman"/>
        </w:rPr>
        <w:t>Facility</w:t>
      </w:r>
      <w:r w:rsidRPr="00BA5AA9">
        <w:rPr>
          <w:rFonts w:cs="Times New Roman"/>
        </w:rPr>
        <w:t xml:space="preserve"> or</w:t>
      </w:r>
      <w:r w:rsidR="006B3268" w:rsidRPr="00BA5AA9">
        <w:rPr>
          <w:rFonts w:cs="Times New Roman"/>
        </w:rPr>
        <w:t xml:space="preserve"> </w:t>
      </w:r>
      <w:r w:rsidRPr="00BA5AA9">
        <w:rPr>
          <w:rFonts w:cs="Times New Roman"/>
        </w:rPr>
        <w:t xml:space="preserve">(y) the Company or the </w:t>
      </w:r>
      <w:r w:rsidR="00E77FCD" w:rsidRPr="00BA5AA9">
        <w:rPr>
          <w:rFonts w:cs="Times New Roman"/>
        </w:rPr>
        <w:t>Facility</w:t>
      </w:r>
      <w:r w:rsidR="00691DA8">
        <w:rPr>
          <w:rFonts w:cs="Times New Roman"/>
        </w:rPr>
        <w:t>;</w:t>
      </w:r>
    </w:p>
    <w:p w14:paraId="7654A46B" w14:textId="0A9F95BA" w:rsidR="00F25E4C" w:rsidRDefault="00AB2447" w:rsidP="00BA5AA9">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 xml:space="preserve">Compliance with Laws – Seller and the Company are in compliance with all laws applicable to Seller, Company, </w:t>
      </w:r>
      <w:r w:rsidR="00E77FCD" w:rsidRPr="00BA5AA9">
        <w:rPr>
          <w:rFonts w:cs="Times New Roman"/>
        </w:rPr>
        <w:t>Facility</w:t>
      </w:r>
      <w:r w:rsidRPr="00BA5AA9">
        <w:rPr>
          <w:rFonts w:cs="Times New Roman"/>
        </w:rPr>
        <w:t xml:space="preserve"> and the transactions contemplated by the </w:t>
      </w:r>
      <w:r w:rsidR="00327128">
        <w:rPr>
          <w:rFonts w:cs="Times New Roman"/>
        </w:rPr>
        <w:t xml:space="preserve">Definitive </w:t>
      </w:r>
      <w:proofErr w:type="gramStart"/>
      <w:r w:rsidR="00327128">
        <w:rPr>
          <w:rFonts w:cs="Times New Roman"/>
        </w:rPr>
        <w:t>Agreements</w:t>
      </w:r>
      <w:r w:rsidR="00691DA8">
        <w:rPr>
          <w:rFonts w:cs="Times New Roman"/>
        </w:rPr>
        <w:t>;</w:t>
      </w:r>
      <w:proofErr w:type="gramEnd"/>
    </w:p>
    <w:p w14:paraId="7654A46C" w14:textId="73837752"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Environmental – Seller, the Company and its affiliates have no environmental liabilities relating to the </w:t>
      </w:r>
      <w:r w:rsidR="00E77FCD" w:rsidRPr="00BA5AA9">
        <w:rPr>
          <w:rFonts w:cs="Times New Roman"/>
        </w:rPr>
        <w:t>Facility</w:t>
      </w:r>
      <w:r w:rsidRPr="00BA5AA9">
        <w:rPr>
          <w:rFonts w:cs="Times New Roman"/>
        </w:rPr>
        <w:t xml:space="preserve"> and </w:t>
      </w:r>
      <w:proofErr w:type="gramStart"/>
      <w:r w:rsidRPr="00BA5AA9">
        <w:rPr>
          <w:rFonts w:cs="Times New Roman"/>
        </w:rPr>
        <w:t>are in compliance with</w:t>
      </w:r>
      <w:proofErr w:type="gramEnd"/>
      <w:r w:rsidRPr="00BA5AA9">
        <w:rPr>
          <w:rFonts w:cs="Times New Roman"/>
        </w:rPr>
        <w:t xml:space="preserve"> environmental requirements relating to the </w:t>
      </w:r>
      <w:r w:rsidR="00E77FCD" w:rsidRPr="00BA5AA9">
        <w:rPr>
          <w:rFonts w:cs="Times New Roman"/>
        </w:rPr>
        <w:t>Facility</w:t>
      </w:r>
      <w:r w:rsidR="00A505F3">
        <w:rPr>
          <w:rFonts w:cs="Times New Roman"/>
        </w:rPr>
        <w:t xml:space="preserve"> including related to hazardous materials</w:t>
      </w:r>
      <w:r w:rsidRPr="00BA5AA9">
        <w:rPr>
          <w:rFonts w:cs="Times New Roman"/>
        </w:rPr>
        <w:t xml:space="preserve">. Seller and its affiliates have not received any notice of an alleged violation of environmental law pertaining to the </w:t>
      </w:r>
      <w:r w:rsidR="00E77FCD" w:rsidRPr="00BA5AA9">
        <w:rPr>
          <w:rFonts w:cs="Times New Roman"/>
        </w:rPr>
        <w:t>Facility</w:t>
      </w:r>
      <w:r w:rsidRPr="00BA5AA9">
        <w:rPr>
          <w:rFonts w:cs="Times New Roman"/>
        </w:rPr>
        <w:t xml:space="preserve"> from any governmental entity. There are no facts, circumstances, conditions or occurrences relating to the </w:t>
      </w:r>
      <w:r w:rsidR="00E77FCD" w:rsidRPr="00BA5AA9">
        <w:rPr>
          <w:rFonts w:cs="Times New Roman"/>
        </w:rPr>
        <w:t>Facility</w:t>
      </w:r>
      <w:r w:rsidRPr="00BA5AA9">
        <w:rPr>
          <w:rFonts w:cs="Times New Roman"/>
        </w:rPr>
        <w:t xml:space="preserve"> that could reasonably be expected to form the basis of a claim, requirement or obligation imposed by any governmental entity under any environmental law on Seller or its </w:t>
      </w:r>
      <w:proofErr w:type="gramStart"/>
      <w:r w:rsidRPr="00BA5AA9">
        <w:rPr>
          <w:rFonts w:cs="Times New Roman"/>
        </w:rPr>
        <w:t>affiliates</w:t>
      </w:r>
      <w:r w:rsidR="006057C2">
        <w:rPr>
          <w:rFonts w:cs="Times New Roman"/>
        </w:rPr>
        <w:t>;</w:t>
      </w:r>
      <w:proofErr w:type="gramEnd"/>
    </w:p>
    <w:p w14:paraId="7654A46D" w14:textId="3BDC1229"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Contracts – Schedule of contracts (</w:t>
      </w:r>
      <w:proofErr w:type="spellStart"/>
      <w:r w:rsidRPr="00BA5AA9">
        <w:rPr>
          <w:rFonts w:cs="Times New Roman"/>
        </w:rPr>
        <w:t>i</w:t>
      </w:r>
      <w:proofErr w:type="spellEnd"/>
      <w:r w:rsidRPr="00BA5AA9">
        <w:rPr>
          <w:rFonts w:cs="Times New Roman"/>
        </w:rPr>
        <w:t xml:space="preserve">) binding on the Company, (ii) binding on Seller that relate to the </w:t>
      </w:r>
      <w:r w:rsidR="00E77FCD" w:rsidRPr="00BA5AA9">
        <w:rPr>
          <w:rFonts w:cs="Times New Roman"/>
        </w:rPr>
        <w:t>Facility</w:t>
      </w:r>
      <w:r w:rsidRPr="00BA5AA9">
        <w:rPr>
          <w:rFonts w:cs="Times New Roman"/>
        </w:rPr>
        <w:t xml:space="preserve">, or (iii) to which the </w:t>
      </w:r>
      <w:r w:rsidR="00E77FCD" w:rsidRPr="00BA5AA9">
        <w:rPr>
          <w:rFonts w:cs="Times New Roman"/>
        </w:rPr>
        <w:t>Facility</w:t>
      </w:r>
      <w:r w:rsidRPr="00BA5AA9">
        <w:rPr>
          <w:rFonts w:cs="Times New Roman"/>
        </w:rPr>
        <w:t xml:space="preserve"> is subject or bound, and Seller has furnished to Buyer true, correct and complete copies of all such </w:t>
      </w:r>
      <w:proofErr w:type="gramStart"/>
      <w:r w:rsidRPr="00BA5AA9">
        <w:rPr>
          <w:rFonts w:cs="Times New Roman"/>
        </w:rPr>
        <w:t>contracts</w:t>
      </w:r>
      <w:r w:rsidR="006057C2">
        <w:rPr>
          <w:rFonts w:cs="Times New Roman"/>
        </w:rPr>
        <w:t>;</w:t>
      </w:r>
      <w:proofErr w:type="gramEnd"/>
    </w:p>
    <w:p w14:paraId="7654A471" w14:textId="5963F799"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Land Contracts – The land contracts are in full force and effect, </w:t>
      </w:r>
      <w:r w:rsidR="00682D00">
        <w:rPr>
          <w:rFonts w:cs="Times New Roman"/>
        </w:rPr>
        <w:t>and the land contracts and real property owned by the Company</w:t>
      </w:r>
      <w:r w:rsidRPr="00BA5AA9">
        <w:rPr>
          <w:rFonts w:cs="Times New Roman"/>
        </w:rPr>
        <w:t xml:space="preserve"> comprise all of the real property interests necessary in connection with the</w:t>
      </w:r>
      <w:r w:rsidR="006B3268" w:rsidRPr="00BA5AA9">
        <w:rPr>
          <w:rFonts w:cs="Times New Roman"/>
        </w:rPr>
        <w:t xml:space="preserve"> </w:t>
      </w:r>
      <w:r w:rsidRPr="00BA5AA9">
        <w:rPr>
          <w:rFonts w:cs="Times New Roman"/>
        </w:rPr>
        <w:t xml:space="preserve">acquisition, development, construction, installation, interconnection, completion and operation of the </w:t>
      </w:r>
      <w:r w:rsidR="00E77FCD" w:rsidRPr="00BA5AA9">
        <w:rPr>
          <w:rFonts w:cs="Times New Roman"/>
        </w:rPr>
        <w:t>Facility</w:t>
      </w:r>
      <w:r w:rsidRPr="00BA5AA9">
        <w:rPr>
          <w:rFonts w:cs="Times New Roman"/>
        </w:rPr>
        <w:t xml:space="preserve">, all in accordance with all laws, and are sufficient to enable the </w:t>
      </w:r>
      <w:r w:rsidR="00E77FCD" w:rsidRPr="00BA5AA9">
        <w:rPr>
          <w:rFonts w:cs="Times New Roman"/>
        </w:rPr>
        <w:t>Facility</w:t>
      </w:r>
      <w:r w:rsidRPr="00BA5AA9">
        <w:rPr>
          <w:rFonts w:cs="Times New Roman"/>
        </w:rPr>
        <w:t xml:space="preserve"> to be commercially operable as contemplated in the </w:t>
      </w:r>
      <w:r w:rsidR="00327128">
        <w:rPr>
          <w:rFonts w:cs="Times New Roman"/>
        </w:rPr>
        <w:t>Definitive Agreements</w:t>
      </w:r>
      <w:r w:rsidRPr="00BA5AA9">
        <w:rPr>
          <w:rFonts w:cs="Times New Roman"/>
        </w:rPr>
        <w:t xml:space="preserve">, including legal and physical ingress and egress rights to and from public right-of-way for construction, operation and maintenance of the </w:t>
      </w:r>
      <w:r w:rsidR="00E77FCD" w:rsidRPr="00BA5AA9">
        <w:rPr>
          <w:rFonts w:cs="Times New Roman"/>
        </w:rPr>
        <w:t>Facility</w:t>
      </w:r>
      <w:r w:rsidR="006057C2">
        <w:rPr>
          <w:rFonts w:cs="Times New Roman"/>
        </w:rPr>
        <w:t>;</w:t>
      </w:r>
    </w:p>
    <w:p w14:paraId="7654A472" w14:textId="774244E1"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Permits </w:t>
      </w:r>
      <w:r w:rsidR="00BB38D6">
        <w:rPr>
          <w:rFonts w:cs="Times New Roman"/>
        </w:rPr>
        <w:t>–</w:t>
      </w:r>
      <w:r w:rsidRPr="00BA5AA9">
        <w:rPr>
          <w:rFonts w:cs="Times New Roman"/>
        </w:rPr>
        <w:t xml:space="preserve"> All</w:t>
      </w:r>
      <w:r w:rsidR="00BB38D6">
        <w:rPr>
          <w:rFonts w:cs="Times New Roman"/>
        </w:rPr>
        <w:t xml:space="preserve"> </w:t>
      </w:r>
      <w:r w:rsidRPr="00BA5AA9">
        <w:rPr>
          <w:rFonts w:cs="Times New Roman"/>
        </w:rPr>
        <w:t xml:space="preserve">permits required to develop, construct, own and attain commercial operation of the </w:t>
      </w:r>
      <w:r w:rsidR="00E77FCD" w:rsidRPr="00BA5AA9">
        <w:rPr>
          <w:rFonts w:cs="Times New Roman"/>
        </w:rPr>
        <w:t>Facility</w:t>
      </w:r>
      <w:r w:rsidRPr="00BA5AA9">
        <w:rPr>
          <w:rFonts w:cs="Times New Roman"/>
        </w:rPr>
        <w:t xml:space="preserve"> are held by the Company, are final and non-appealable, are scheduled, and Seller has obtained and furnished to Buyer true, correct and complete copies of such permits. Such permits are in full force and effect and are legal, valid, binding and </w:t>
      </w:r>
      <w:r w:rsidRPr="00BA5AA9">
        <w:rPr>
          <w:rFonts w:cs="Times New Roman"/>
        </w:rPr>
        <w:lastRenderedPageBreak/>
        <w:t xml:space="preserve">enforceable in accordance with their respective </w:t>
      </w:r>
      <w:proofErr w:type="gramStart"/>
      <w:r w:rsidRPr="00BA5AA9">
        <w:rPr>
          <w:rFonts w:cs="Times New Roman"/>
        </w:rPr>
        <w:t>terms</w:t>
      </w:r>
      <w:r w:rsidR="006057C2">
        <w:rPr>
          <w:rFonts w:cs="Times New Roman"/>
        </w:rPr>
        <w:t>;</w:t>
      </w:r>
      <w:proofErr w:type="gramEnd"/>
    </w:p>
    <w:p w14:paraId="7654A473" w14:textId="25EEE452"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Solar Data – Seller has delivered to buyer true, correct and complete copies of all insolation and related meteorological data, and energy production estimates</w:t>
      </w:r>
      <w:r w:rsidR="00501EB8">
        <w:rPr>
          <w:rFonts w:cs="Times New Roman"/>
        </w:rPr>
        <w:t>,</w:t>
      </w:r>
      <w:r w:rsidRPr="00BA5AA9">
        <w:rPr>
          <w:rFonts w:cs="Times New Roman"/>
        </w:rPr>
        <w:t xml:space="preserve"> if any, related to the </w:t>
      </w:r>
      <w:proofErr w:type="gramStart"/>
      <w:r w:rsidR="00E77FCD" w:rsidRPr="00BA5AA9">
        <w:rPr>
          <w:rFonts w:cs="Times New Roman"/>
        </w:rPr>
        <w:t>Facility</w:t>
      </w:r>
      <w:r w:rsidR="006057C2">
        <w:rPr>
          <w:rFonts w:cs="Times New Roman"/>
        </w:rPr>
        <w:t>;</w:t>
      </w:r>
      <w:proofErr w:type="gramEnd"/>
    </w:p>
    <w:p w14:paraId="7654A474" w14:textId="0A1F678A"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Title – The Company is in possession of and has good and marketable title to the </w:t>
      </w:r>
      <w:r w:rsidR="00E77FCD" w:rsidRPr="00BA5AA9">
        <w:rPr>
          <w:rFonts w:cs="Times New Roman"/>
        </w:rPr>
        <w:t>Facility</w:t>
      </w:r>
      <w:r w:rsidRPr="00BA5AA9">
        <w:rPr>
          <w:rFonts w:cs="Times New Roman"/>
        </w:rPr>
        <w:t xml:space="preserve"> free and clear of all encumbrances, except for Permitted Encumbrances. Seller has good and marketable title to the Company’s equity interests, free and clear of all encumbrances. Seller and its affiliates have no legal obligation to, or non-binding agreement in principle with any other person, to sell or affect a sale of all, or any portion of, the </w:t>
      </w:r>
      <w:r w:rsidR="00E77FCD" w:rsidRPr="00BA5AA9">
        <w:rPr>
          <w:rFonts w:cs="Times New Roman"/>
        </w:rPr>
        <w:t>Facility</w:t>
      </w:r>
      <w:r w:rsidRPr="00BA5AA9">
        <w:rPr>
          <w:rFonts w:cs="Times New Roman"/>
        </w:rPr>
        <w:t xml:space="preserve"> or the Company</w:t>
      </w:r>
      <w:r w:rsidR="006057C2">
        <w:rPr>
          <w:rFonts w:cs="Times New Roman"/>
        </w:rPr>
        <w:t>;</w:t>
      </w:r>
      <w:r w:rsidR="003208F1">
        <w:rPr>
          <w:rFonts w:cs="Times New Roman"/>
        </w:rPr>
        <w:t xml:space="preserve"> and,</w:t>
      </w:r>
    </w:p>
    <w:p w14:paraId="7654A475" w14:textId="77D7B78E"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Other representation and warranties customary in a transaction of this nature, including those pertaining to </w:t>
      </w:r>
      <w:r w:rsidR="0032584E">
        <w:rPr>
          <w:rFonts w:cs="Times New Roman"/>
        </w:rPr>
        <w:t>available investment tax credits (</w:t>
      </w:r>
      <w:r w:rsidRPr="00BA5AA9">
        <w:rPr>
          <w:rFonts w:cs="Times New Roman"/>
        </w:rPr>
        <w:t>ITCs</w:t>
      </w:r>
      <w:r w:rsidR="0032584E">
        <w:rPr>
          <w:rFonts w:cs="Times New Roman"/>
        </w:rPr>
        <w:t>)</w:t>
      </w:r>
      <w:r w:rsidRPr="00BA5AA9">
        <w:rPr>
          <w:rFonts w:cs="Times New Roman"/>
        </w:rPr>
        <w:t xml:space="preserve"> or </w:t>
      </w:r>
      <w:r w:rsidR="0032584E">
        <w:rPr>
          <w:rFonts w:cs="Times New Roman"/>
        </w:rPr>
        <w:t>production tax credits (</w:t>
      </w:r>
      <w:r w:rsidRPr="00BA5AA9">
        <w:rPr>
          <w:rFonts w:cs="Times New Roman"/>
        </w:rPr>
        <w:t>PTCs</w:t>
      </w:r>
      <w:r w:rsidR="0032584E">
        <w:rPr>
          <w:rFonts w:cs="Times New Roman"/>
        </w:rPr>
        <w:t>)</w:t>
      </w:r>
      <w:r w:rsidR="00123FAE">
        <w:rPr>
          <w:rFonts w:cs="Times New Roman"/>
        </w:rPr>
        <w:t xml:space="preserve"> (including relating to beginning of construction, prevailing wage and apprenticeship compliance, energy community bonus eligibility and domestic content bonus eligibility)</w:t>
      </w:r>
      <w:r w:rsidRPr="00BA5AA9">
        <w:rPr>
          <w:rFonts w:cs="Times New Roman"/>
        </w:rPr>
        <w:t>, taxes, title, finders, intellectual property, brokers and insurance or that are required following Buyer’s due diligence review.</w:t>
      </w:r>
    </w:p>
    <w:p w14:paraId="7654A477" w14:textId="17EDBABC" w:rsidR="00F25E4C" w:rsidRPr="00BA5AA9" w:rsidRDefault="00B31872" w:rsidP="00BA5AA9">
      <w:pPr>
        <w:spacing w:before="120" w:after="120"/>
        <w:rPr>
          <w:b/>
          <w:bCs/>
          <w:sz w:val="24"/>
          <w:szCs w:val="24"/>
        </w:rPr>
      </w:pPr>
      <w:r w:rsidRPr="00BA5AA9">
        <w:rPr>
          <w:b/>
          <w:bCs/>
          <w:sz w:val="24"/>
          <w:szCs w:val="24"/>
        </w:rPr>
        <w:t>OTHER AGREEMENTS</w:t>
      </w:r>
    </w:p>
    <w:p w14:paraId="7654A478" w14:textId="1F8CC0B5"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Interconnection</w:t>
      </w:r>
      <w:r w:rsidR="00037FC9">
        <w:rPr>
          <w:rFonts w:cs="Times New Roman"/>
        </w:rPr>
        <w:t xml:space="preserve"> Agreement</w:t>
      </w:r>
      <w:r w:rsidR="00A61F4A">
        <w:rPr>
          <w:rFonts w:cs="Times New Roman"/>
        </w:rPr>
        <w:t xml:space="preserve"> –</w:t>
      </w:r>
      <w:r w:rsidRPr="00BA5AA9">
        <w:rPr>
          <w:rFonts w:cs="Times New Roman"/>
        </w:rPr>
        <w:t xml:space="preserve"> Seller</w:t>
      </w:r>
      <w:r w:rsidR="00A61F4A">
        <w:rPr>
          <w:rFonts w:cs="Times New Roman"/>
        </w:rPr>
        <w:t xml:space="preserve"> </w:t>
      </w:r>
      <w:r w:rsidRPr="00BA5AA9">
        <w:rPr>
          <w:rFonts w:cs="Times New Roman"/>
        </w:rPr>
        <w:t xml:space="preserve">shall be responsible for complying with all costs and requirements necessary to attain the final interconnection of the </w:t>
      </w:r>
      <w:r w:rsidR="00E77FCD" w:rsidRPr="00BA5AA9">
        <w:rPr>
          <w:rFonts w:cs="Times New Roman"/>
        </w:rPr>
        <w:t>Facility</w:t>
      </w:r>
      <w:r w:rsidR="005870CC">
        <w:rPr>
          <w:rFonts w:cs="Times New Roman"/>
        </w:rPr>
        <w:t xml:space="preserve"> as provided in the Interconnection Agreement. </w:t>
      </w:r>
    </w:p>
    <w:p w14:paraId="7654A479" w14:textId="47FA18E9"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Technology</w:t>
      </w:r>
      <w:r w:rsidR="00600476">
        <w:rPr>
          <w:rFonts w:cs="Times New Roman"/>
        </w:rPr>
        <w:t xml:space="preserve"> –</w:t>
      </w:r>
      <w:r w:rsidRPr="00BA5AA9">
        <w:rPr>
          <w:rFonts w:cs="Times New Roman"/>
        </w:rPr>
        <w:t xml:space="preserve"> The</w:t>
      </w:r>
      <w:r w:rsidR="00600476">
        <w:rPr>
          <w:rFonts w:cs="Times New Roman"/>
        </w:rPr>
        <w:t xml:space="preserve"> </w:t>
      </w:r>
      <w:r w:rsidRPr="00BA5AA9">
        <w:rPr>
          <w:rFonts w:cs="Times New Roman"/>
        </w:rPr>
        <w:t xml:space="preserve">major equipment components of the </w:t>
      </w:r>
      <w:r w:rsidR="00E77FCD" w:rsidRPr="00BA5AA9">
        <w:rPr>
          <w:rFonts w:cs="Times New Roman"/>
        </w:rPr>
        <w:t>Facility</w:t>
      </w:r>
      <w:r w:rsidRPr="00BA5AA9">
        <w:rPr>
          <w:rFonts w:cs="Times New Roman"/>
        </w:rPr>
        <w:t xml:space="preserve"> shall be manufactured by top tier manufacturers acceptable to Buyer as specified in Buyer’s Technical Requirements</w:t>
      </w:r>
      <w:r w:rsidR="00037FC9">
        <w:rPr>
          <w:rFonts w:cs="Times New Roman"/>
        </w:rPr>
        <w:t>.</w:t>
      </w:r>
    </w:p>
    <w:p w14:paraId="7654A481" w14:textId="68C1FC86" w:rsidR="00F25E4C" w:rsidRPr="00FE11D0" w:rsidRDefault="00AB2447" w:rsidP="00FE11D0">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Buyer’s right to inspect</w:t>
      </w:r>
      <w:r w:rsidR="000D6FD4">
        <w:rPr>
          <w:rFonts w:cs="Times New Roman"/>
        </w:rPr>
        <w:t xml:space="preserve"> – </w:t>
      </w:r>
      <w:r w:rsidRPr="00BA5AA9">
        <w:rPr>
          <w:rFonts w:cs="Times New Roman"/>
        </w:rPr>
        <w:t>Buyer</w:t>
      </w:r>
      <w:r w:rsidR="000D6FD4">
        <w:rPr>
          <w:rFonts w:cs="Times New Roman"/>
        </w:rPr>
        <w:t xml:space="preserve"> </w:t>
      </w:r>
      <w:r w:rsidRPr="00BA5AA9">
        <w:rPr>
          <w:rFonts w:cs="Times New Roman"/>
        </w:rPr>
        <w:t xml:space="preserve">and Buyer’s authorized representatives shall have the right to inspect the work and to maintain personnel at the </w:t>
      </w:r>
      <w:r w:rsidR="00E77FCD" w:rsidRPr="00BA5AA9">
        <w:rPr>
          <w:rFonts w:cs="Times New Roman"/>
        </w:rPr>
        <w:t>Facility</w:t>
      </w:r>
      <w:r w:rsidRPr="00BA5AA9">
        <w:rPr>
          <w:rFonts w:cs="Times New Roman"/>
        </w:rPr>
        <w:t xml:space="preserve"> site for such purpose. Such inspection of any part of the work shall in no way relieve Seller of its obligations under the </w:t>
      </w:r>
      <w:r w:rsidR="00327128">
        <w:rPr>
          <w:rFonts w:cs="Times New Roman"/>
        </w:rPr>
        <w:t>Definitive Agreements</w:t>
      </w:r>
      <w:r w:rsidRPr="00BA5AA9">
        <w:rPr>
          <w:rFonts w:cs="Times New Roman"/>
        </w:rPr>
        <w:t>.</w:t>
      </w:r>
      <w:r w:rsidR="00FE11D0" w:rsidRPr="00BA5AA9">
        <w:t xml:space="preserve"> </w:t>
      </w:r>
    </w:p>
    <w:p w14:paraId="7654A482" w14:textId="064547A4"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In addition to, and independent of any pass-through warranties from the panel, inverter, racking and monitoring equipment manufacturers, balance of plant contractor and other suppliers and subcontractors, Seller shall provide a full wrap project warranty of no less than two years in duration as to defects in materials, workmanship and title, quality of work and performance.</w:t>
      </w:r>
    </w:p>
    <w:p w14:paraId="7654A483" w14:textId="0CC273B7"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Seller shall assume all risks arising from any change in its commodity prices and all changes associated with any change in law affecting Seller’s </w:t>
      </w:r>
      <w:r w:rsidR="00E77FCD" w:rsidRPr="00BA5AA9">
        <w:rPr>
          <w:rFonts w:cs="Times New Roman"/>
        </w:rPr>
        <w:t>Facility</w:t>
      </w:r>
      <w:r w:rsidRPr="00BA5AA9">
        <w:rPr>
          <w:rFonts w:cs="Times New Roman"/>
        </w:rPr>
        <w:t xml:space="preserve"> costs including, but not limited to, changes in tariff rates.</w:t>
      </w:r>
    </w:p>
    <w:p w14:paraId="7654A484" w14:textId="1ADDDB7F"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Seller shall be responsible for all taxes relating to the pre-closing period and all transfer taxes and any sales, use or other taxes related to the purchase and sale of the ownership interests of the Company and any purchase or conveyance of real or personal property to the Company to be used in the </w:t>
      </w:r>
      <w:r w:rsidR="00E77FCD" w:rsidRPr="00BA5AA9">
        <w:rPr>
          <w:rFonts w:cs="Times New Roman"/>
        </w:rPr>
        <w:t>Facility</w:t>
      </w:r>
      <w:r w:rsidRPr="00BA5AA9">
        <w:rPr>
          <w:rFonts w:cs="Times New Roman"/>
        </w:rPr>
        <w:t>.</w:t>
      </w:r>
    </w:p>
    <w:p w14:paraId="7654A485" w14:textId="4BCE3BF3"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Buyer will not be required to close if the aggregate </w:t>
      </w:r>
      <w:r w:rsidR="005C012A" w:rsidRPr="00BA5AA9">
        <w:rPr>
          <w:rFonts w:cs="Times New Roman"/>
        </w:rPr>
        <w:t xml:space="preserve">installed </w:t>
      </w:r>
      <w:r w:rsidRPr="00BA5AA9">
        <w:rPr>
          <w:rFonts w:cs="Times New Roman"/>
        </w:rPr>
        <w:t xml:space="preserve">capacity of the </w:t>
      </w:r>
      <w:r w:rsidR="00E77FCD" w:rsidRPr="00BA5AA9">
        <w:rPr>
          <w:rFonts w:cs="Times New Roman"/>
        </w:rPr>
        <w:t>Facility</w:t>
      </w:r>
      <w:r w:rsidRPr="00BA5AA9">
        <w:rPr>
          <w:rFonts w:cs="Times New Roman"/>
        </w:rPr>
        <w:t xml:space="preserve"> is less than </w:t>
      </w:r>
      <w:r w:rsidRPr="00C0099C">
        <w:rPr>
          <w:rFonts w:cs="Times New Roman"/>
          <w:highlight w:val="yellow"/>
        </w:rPr>
        <w:t>95%</w:t>
      </w:r>
      <w:r w:rsidRPr="00BA5AA9">
        <w:rPr>
          <w:rFonts w:cs="Times New Roman"/>
        </w:rPr>
        <w:t xml:space="preserve"> of </w:t>
      </w:r>
      <w:r w:rsidR="00B13225" w:rsidRPr="003E0BB4">
        <w:rPr>
          <w:rFonts w:cs="Times New Roman"/>
          <w:highlight w:val="yellow"/>
        </w:rPr>
        <w:t>[</w:t>
      </w:r>
      <w:r w:rsidR="00B13225" w:rsidRPr="00D71C36">
        <w:rPr>
          <w:rFonts w:cs="Times New Roman"/>
          <w:highlight w:val="yellow"/>
        </w:rPr>
        <w:t>insert estimated capacity</w:t>
      </w:r>
      <w:r w:rsidR="00B13225" w:rsidRPr="003E0BB4">
        <w:rPr>
          <w:rFonts w:cs="Times New Roman"/>
          <w:highlight w:val="yellow"/>
        </w:rPr>
        <w:t>]</w:t>
      </w:r>
      <w:r w:rsidR="00B13225">
        <w:rPr>
          <w:rFonts w:cs="Times New Roman"/>
        </w:rPr>
        <w:t xml:space="preserve"> </w:t>
      </w:r>
      <w:r w:rsidRPr="00BA5AA9">
        <w:rPr>
          <w:rFonts w:cs="Times New Roman"/>
        </w:rPr>
        <w:t>(the “</w:t>
      </w:r>
      <w:r w:rsidR="00B13225">
        <w:rPr>
          <w:rFonts w:cs="Times New Roman"/>
        </w:rPr>
        <w:t>Capacity</w:t>
      </w:r>
      <w:r w:rsidR="005C012A" w:rsidRPr="00BA5AA9">
        <w:rPr>
          <w:rFonts w:cs="Times New Roman"/>
        </w:rPr>
        <w:t xml:space="preserve"> Guarantee</w:t>
      </w:r>
      <w:r w:rsidRPr="00BA5AA9">
        <w:rPr>
          <w:rFonts w:cs="Times New Roman"/>
        </w:rPr>
        <w:t>”).</w:t>
      </w:r>
    </w:p>
    <w:p w14:paraId="7654A487" w14:textId="4F99B513"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 xml:space="preserve">Seller shall make a per diem liquidated damages payment, in an amount of </w:t>
      </w:r>
      <w:r w:rsidRPr="003E0BB4">
        <w:rPr>
          <w:rFonts w:cs="Times New Roman"/>
        </w:rPr>
        <w:t>$</w:t>
      </w:r>
      <w:r w:rsidR="00474E4E">
        <w:rPr>
          <w:rFonts w:cs="Times New Roman"/>
          <w:highlight w:val="yellow"/>
        </w:rPr>
        <w:t>[</w:t>
      </w:r>
      <w:r w:rsidR="001A03A2" w:rsidRPr="00C0099C">
        <w:rPr>
          <w:rFonts w:cs="Times New Roman"/>
          <w:highlight w:val="yellow"/>
        </w:rPr>
        <w:t>250</w:t>
      </w:r>
      <w:r w:rsidR="00474E4E" w:rsidRPr="003E0BB4">
        <w:rPr>
          <w:rFonts w:cs="Times New Roman"/>
          <w:highlight w:val="yellow"/>
        </w:rPr>
        <w:t>]</w:t>
      </w:r>
      <w:r w:rsidR="00474E4E">
        <w:rPr>
          <w:rFonts w:cs="Times New Roman"/>
        </w:rPr>
        <w:t>/</w:t>
      </w:r>
      <w:r w:rsidRPr="00BA5AA9">
        <w:rPr>
          <w:rFonts w:cs="Times New Roman"/>
        </w:rPr>
        <w:t>MW, for each day af</w:t>
      </w:r>
      <w:r w:rsidR="00F83641">
        <w:rPr>
          <w:rFonts w:cs="Times New Roman"/>
        </w:rPr>
        <w:t>ter the agreed</w:t>
      </w:r>
      <w:r w:rsidRPr="00BA5AA9">
        <w:rPr>
          <w:rFonts w:cs="Times New Roman"/>
        </w:rPr>
        <w:t xml:space="preserve"> </w:t>
      </w:r>
      <w:r w:rsidR="00F34F6B">
        <w:rPr>
          <w:rFonts w:cs="Times New Roman"/>
        </w:rPr>
        <w:t>Mechanical Completion</w:t>
      </w:r>
      <w:r w:rsidR="00F83641">
        <w:rPr>
          <w:rFonts w:cs="Times New Roman"/>
        </w:rPr>
        <w:t xml:space="preserve"> Date</w:t>
      </w:r>
      <w:r w:rsidR="00325214">
        <w:rPr>
          <w:rFonts w:cs="Times New Roman"/>
        </w:rPr>
        <w:t xml:space="preserve"> set forth in the Definitive Agreement</w:t>
      </w:r>
      <w:r w:rsidR="002443E5">
        <w:rPr>
          <w:rFonts w:cs="Times New Roman"/>
        </w:rPr>
        <w:t>s</w:t>
      </w:r>
      <w:r w:rsidR="002B3FAC" w:rsidRPr="00BA5AA9">
        <w:rPr>
          <w:rFonts w:cs="Times New Roman"/>
        </w:rPr>
        <w:t xml:space="preserve"> that</w:t>
      </w:r>
      <w:r w:rsidRPr="00BA5AA9">
        <w:rPr>
          <w:rFonts w:cs="Times New Roman"/>
        </w:rPr>
        <w:t xml:space="preserve"> the </w:t>
      </w:r>
      <w:r w:rsidR="00E77FCD" w:rsidRPr="00BA5AA9">
        <w:rPr>
          <w:rFonts w:cs="Times New Roman"/>
        </w:rPr>
        <w:t>Facility</w:t>
      </w:r>
      <w:r w:rsidRPr="00BA5AA9">
        <w:rPr>
          <w:rFonts w:cs="Times New Roman"/>
        </w:rPr>
        <w:t xml:space="preserve"> has not </w:t>
      </w:r>
      <w:r w:rsidR="00FC5E28">
        <w:rPr>
          <w:rFonts w:cs="Times New Roman"/>
        </w:rPr>
        <w:t xml:space="preserve">been </w:t>
      </w:r>
      <w:r w:rsidR="002B3FAC" w:rsidRPr="00BA5AA9">
        <w:rPr>
          <w:rFonts w:cs="Times New Roman"/>
        </w:rPr>
        <w:t>achieved,</w:t>
      </w:r>
      <w:r w:rsidRPr="00BA5AA9">
        <w:rPr>
          <w:rFonts w:cs="Times New Roman"/>
        </w:rPr>
        <w:t xml:space="preserve"> such delay damages not to exceed an agreed percentage of the Purchase Price in the aggregate.</w:t>
      </w:r>
    </w:p>
    <w:p w14:paraId="7654A48E" w14:textId="4B763C3A" w:rsidR="00F25E4C" w:rsidRDefault="00AB2447" w:rsidP="00BA5AA9">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NERC Matters</w:t>
      </w:r>
      <w:r w:rsidR="00FC5E28">
        <w:rPr>
          <w:rFonts w:cs="Times New Roman"/>
        </w:rPr>
        <w:t xml:space="preserve"> –</w:t>
      </w:r>
      <w:r w:rsidRPr="00BA5AA9">
        <w:rPr>
          <w:rFonts w:cs="Times New Roman"/>
        </w:rPr>
        <w:t xml:space="preserve"> Seller</w:t>
      </w:r>
      <w:r w:rsidR="00FC5E28">
        <w:rPr>
          <w:rFonts w:cs="Times New Roman"/>
        </w:rPr>
        <w:t xml:space="preserve"> </w:t>
      </w:r>
      <w:r w:rsidRPr="00BA5AA9">
        <w:rPr>
          <w:rFonts w:cs="Times New Roman"/>
        </w:rPr>
        <w:t xml:space="preserve">shall comply with the NERC Reliability Requirements applicable to generating projects during the period from the date of Closing and </w:t>
      </w:r>
      <w:r w:rsidR="00F34F6B">
        <w:rPr>
          <w:rFonts w:cs="Times New Roman"/>
        </w:rPr>
        <w:t xml:space="preserve">Mechanical </w:t>
      </w:r>
      <w:r w:rsidR="00F34F6B">
        <w:rPr>
          <w:rFonts w:cs="Times New Roman"/>
        </w:rPr>
        <w:lastRenderedPageBreak/>
        <w:t>Completion</w:t>
      </w:r>
      <w:r w:rsidRPr="00BA5AA9">
        <w:rPr>
          <w:rFonts w:cs="Times New Roman"/>
        </w:rPr>
        <w:t xml:space="preserve"> and shall ensure the </w:t>
      </w:r>
      <w:r w:rsidR="00E77FCD" w:rsidRPr="00BA5AA9">
        <w:rPr>
          <w:rFonts w:cs="Times New Roman"/>
        </w:rPr>
        <w:t>Facility</w:t>
      </w:r>
      <w:r w:rsidRPr="00BA5AA9">
        <w:rPr>
          <w:rFonts w:cs="Times New Roman"/>
        </w:rPr>
        <w:t xml:space="preserve"> meets all NERC Reliability Requirements under the </w:t>
      </w:r>
      <w:r w:rsidR="00264F23">
        <w:rPr>
          <w:rFonts w:cs="Times New Roman"/>
        </w:rPr>
        <w:t>I</w:t>
      </w:r>
      <w:r w:rsidRPr="00BA5AA9">
        <w:rPr>
          <w:rFonts w:cs="Times New Roman"/>
        </w:rPr>
        <w:t xml:space="preserve">nterconnection </w:t>
      </w:r>
      <w:r w:rsidR="00264F23">
        <w:rPr>
          <w:rFonts w:cs="Times New Roman"/>
        </w:rPr>
        <w:t>A</w:t>
      </w:r>
      <w:r w:rsidRPr="00BA5AA9">
        <w:rPr>
          <w:rFonts w:cs="Times New Roman"/>
        </w:rPr>
        <w:t xml:space="preserve">greement. Seller shall maintain records required by NERC of such compliance actions and shall perform such other tasks and responsibilities as are set forth in Buyer’s Technical Requirements. No later than </w:t>
      </w:r>
      <w:r w:rsidRPr="00D71C36">
        <w:rPr>
          <w:rFonts w:cs="Times New Roman"/>
          <w:highlight w:val="yellow"/>
        </w:rPr>
        <w:t>fifteen</w:t>
      </w:r>
      <w:r w:rsidRPr="00BA5AA9">
        <w:rPr>
          <w:rFonts w:cs="Times New Roman"/>
        </w:rPr>
        <w:t xml:space="preserve"> (</w:t>
      </w:r>
      <w:r w:rsidRPr="00C0099C">
        <w:rPr>
          <w:rFonts w:cs="Times New Roman"/>
          <w:highlight w:val="yellow"/>
        </w:rPr>
        <w:t>15</w:t>
      </w:r>
      <w:r w:rsidRPr="00BA5AA9">
        <w:rPr>
          <w:rFonts w:cs="Times New Roman"/>
        </w:rPr>
        <w:t xml:space="preserve">) business days before Closing, Seller will provide Buyer current applicable compliance records related to the </w:t>
      </w:r>
      <w:r w:rsidR="00E77FCD" w:rsidRPr="00BA5AA9">
        <w:rPr>
          <w:rFonts w:cs="Times New Roman"/>
        </w:rPr>
        <w:t>Facility</w:t>
      </w:r>
      <w:r w:rsidRPr="00BA5AA9">
        <w:rPr>
          <w:rFonts w:cs="Times New Roman"/>
        </w:rPr>
        <w:t xml:space="preserve"> developed during testing or prior to Closing (such as test records, relay settings, energization and synchronization reporting activities</w:t>
      </w:r>
      <w:r w:rsidR="00D130CF" w:rsidRPr="00BA5AA9">
        <w:rPr>
          <w:rFonts w:cs="Times New Roman"/>
        </w:rPr>
        <w:t xml:space="preserve"> </w:t>
      </w:r>
      <w:r w:rsidRPr="00BA5AA9">
        <w:rPr>
          <w:rFonts w:cs="Times New Roman"/>
        </w:rPr>
        <w:t>and voltage schedule). Seller will provide Buyer design documents required by NERC (such as the Reactive Power Report, Reactive Power Control design (for VAR-002 and to meet the Voltage Schedule), Facility Ratings, Coordination Studies, etc.) no later than</w:t>
      </w:r>
      <w:r w:rsidR="005B0A2D">
        <w:rPr>
          <w:rFonts w:cs="Times New Roman"/>
        </w:rPr>
        <w:t xml:space="preserve"> </w:t>
      </w:r>
      <w:r w:rsidR="005B0A2D" w:rsidRPr="00D71C36">
        <w:rPr>
          <w:rFonts w:cs="Times New Roman"/>
          <w:highlight w:val="yellow"/>
        </w:rPr>
        <w:t>thirty</w:t>
      </w:r>
      <w:r w:rsidRPr="00BA5AA9">
        <w:rPr>
          <w:rFonts w:cs="Times New Roman"/>
        </w:rPr>
        <w:t xml:space="preserve"> </w:t>
      </w:r>
      <w:r w:rsidR="005B0A2D">
        <w:rPr>
          <w:rFonts w:cs="Times New Roman"/>
        </w:rPr>
        <w:t>(</w:t>
      </w:r>
      <w:r w:rsidRPr="00C0099C">
        <w:rPr>
          <w:rFonts w:cs="Times New Roman"/>
          <w:highlight w:val="yellow"/>
        </w:rPr>
        <w:t>30</w:t>
      </w:r>
      <w:r w:rsidR="005B0A2D">
        <w:rPr>
          <w:rFonts w:cs="Times New Roman"/>
        </w:rPr>
        <w:t>)</w:t>
      </w:r>
      <w:r w:rsidRPr="00BA5AA9">
        <w:rPr>
          <w:rFonts w:cs="Times New Roman"/>
        </w:rPr>
        <w:t xml:space="preserve"> days </w:t>
      </w:r>
      <w:r w:rsidR="00672B4C">
        <w:rPr>
          <w:rFonts w:cs="Times New Roman"/>
        </w:rPr>
        <w:t>prior to</w:t>
      </w:r>
      <w:r w:rsidRPr="00BA5AA9">
        <w:rPr>
          <w:rFonts w:cs="Times New Roman"/>
        </w:rPr>
        <w:t xml:space="preserve"> Closing.</w:t>
      </w:r>
    </w:p>
    <w:p w14:paraId="3D1F4D58" w14:textId="77777777" w:rsidR="000769A7" w:rsidRPr="000769A7" w:rsidRDefault="000769A7" w:rsidP="000769A7">
      <w:pPr>
        <w:pStyle w:val="BodyText"/>
      </w:pPr>
    </w:p>
    <w:p w14:paraId="7654A490" w14:textId="6B509AE7" w:rsidR="00F25E4C" w:rsidRPr="00BA5AA9" w:rsidRDefault="00B31872" w:rsidP="00BA5AA9">
      <w:pPr>
        <w:spacing w:before="120" w:after="120"/>
        <w:rPr>
          <w:b/>
          <w:bCs/>
          <w:sz w:val="24"/>
          <w:szCs w:val="24"/>
        </w:rPr>
      </w:pPr>
      <w:r w:rsidRPr="00BA5AA9">
        <w:rPr>
          <w:b/>
          <w:bCs/>
          <w:sz w:val="24"/>
          <w:szCs w:val="24"/>
        </w:rPr>
        <w:t>TERMINATION PROVISIONS</w:t>
      </w:r>
    </w:p>
    <w:p w14:paraId="07C4B2E6" w14:textId="52717D96" w:rsidR="00327128" w:rsidRDefault="00AB2447" w:rsidP="00D71C36">
      <w:pPr>
        <w:widowControl/>
        <w:spacing w:before="120" w:after="120"/>
        <w:jc w:val="both"/>
      </w:pPr>
      <w:r w:rsidRPr="00BA5AA9">
        <w:rPr>
          <w:sz w:val="24"/>
          <w:szCs w:val="24"/>
        </w:rPr>
        <w:t xml:space="preserve">The </w:t>
      </w:r>
      <w:r w:rsidR="00327128">
        <w:rPr>
          <w:sz w:val="24"/>
          <w:szCs w:val="24"/>
        </w:rPr>
        <w:t>Definitive Agreements</w:t>
      </w:r>
      <w:r w:rsidRPr="00BA5AA9">
        <w:rPr>
          <w:sz w:val="24"/>
          <w:szCs w:val="24"/>
        </w:rPr>
        <w:t xml:space="preserve"> may be terminated upon written notice by the terminating party (as described below) in the event of certain occurrences, including</w:t>
      </w:r>
      <w:r w:rsidR="00A145F1">
        <w:rPr>
          <w:sz w:val="24"/>
          <w:szCs w:val="24"/>
        </w:rPr>
        <w:t>,</w:t>
      </w:r>
      <w:r w:rsidRPr="00BA5AA9">
        <w:rPr>
          <w:sz w:val="24"/>
          <w:szCs w:val="24"/>
        </w:rPr>
        <w:t xml:space="preserve"> without limitation:</w:t>
      </w:r>
    </w:p>
    <w:p w14:paraId="7654A492" w14:textId="48021E01" w:rsidR="00F25E4C" w:rsidRPr="005C195A" w:rsidRDefault="00AB2447" w:rsidP="002319D0">
      <w:pPr>
        <w:pStyle w:val="ArticleL3"/>
        <w:widowControl w:val="0"/>
        <w:numPr>
          <w:ilvl w:val="0"/>
          <w:numId w:val="26"/>
        </w:numPr>
        <w:spacing w:after="120"/>
        <w:contextualSpacing/>
        <w:jc w:val="both"/>
        <w:outlineLvl w:val="9"/>
        <w:rPr>
          <w:rFonts w:cs="Times New Roman"/>
        </w:rPr>
      </w:pPr>
      <w:r w:rsidRPr="00BA5AA9">
        <w:rPr>
          <w:rFonts w:cs="Times New Roman"/>
        </w:rPr>
        <w:t xml:space="preserve">If applicable, by Buyer if the </w:t>
      </w:r>
      <w:r w:rsidR="008F5BE5" w:rsidRPr="00BA5AA9">
        <w:rPr>
          <w:rFonts w:cs="Times New Roman"/>
        </w:rPr>
        <w:t>Commencement Date</w:t>
      </w:r>
      <w:r w:rsidRPr="00BA5AA9">
        <w:rPr>
          <w:rFonts w:cs="Times New Roman"/>
        </w:rPr>
        <w:t xml:space="preserve"> has not occurred by the </w:t>
      </w:r>
      <w:r w:rsidR="00EE7DFA">
        <w:rPr>
          <w:rFonts w:cs="Times New Roman"/>
        </w:rPr>
        <w:t>“</w:t>
      </w:r>
      <w:r w:rsidRPr="00BA5AA9">
        <w:rPr>
          <w:rFonts w:cs="Times New Roman"/>
        </w:rPr>
        <w:t xml:space="preserve">Outside </w:t>
      </w:r>
      <w:r w:rsidR="008F5BE5" w:rsidRPr="00BA5AA9">
        <w:rPr>
          <w:rFonts w:cs="Times New Roman"/>
        </w:rPr>
        <w:t>Commencement Date</w:t>
      </w:r>
      <w:r w:rsidR="00EE7DFA">
        <w:rPr>
          <w:rFonts w:cs="Times New Roman"/>
        </w:rPr>
        <w:t>” set forth in the Definitive Agreements</w:t>
      </w:r>
      <w:r w:rsidRPr="00BA5AA9">
        <w:rPr>
          <w:rFonts w:cs="Times New Roman"/>
        </w:rPr>
        <w:t xml:space="preserve">, regardless of the reason for such failure, provided that the </w:t>
      </w:r>
      <w:r w:rsidR="00EE7DFA">
        <w:rPr>
          <w:rFonts w:cs="Times New Roman"/>
        </w:rPr>
        <w:t>Buyer</w:t>
      </w:r>
      <w:r w:rsidRPr="00BA5AA9">
        <w:rPr>
          <w:rFonts w:cs="Times New Roman"/>
        </w:rPr>
        <w:t xml:space="preserve"> is not in breach of the </w:t>
      </w:r>
      <w:r w:rsidR="00327128">
        <w:rPr>
          <w:rFonts w:cs="Times New Roman"/>
        </w:rPr>
        <w:t>Definitive Agreements</w:t>
      </w:r>
      <w:r w:rsidRPr="00BA5AA9">
        <w:rPr>
          <w:rFonts w:cs="Times New Roman"/>
        </w:rPr>
        <w:t>.</w:t>
      </w:r>
    </w:p>
    <w:p w14:paraId="7654A493" w14:textId="1445F8CA" w:rsidR="00F25E4C" w:rsidRPr="00BA5AA9" w:rsidRDefault="00AB2447" w:rsidP="002319D0">
      <w:pPr>
        <w:pStyle w:val="ArticleL3"/>
        <w:widowControl w:val="0"/>
        <w:numPr>
          <w:ilvl w:val="0"/>
          <w:numId w:val="26"/>
        </w:numPr>
        <w:tabs>
          <w:tab w:val="left" w:pos="1080"/>
        </w:tabs>
        <w:spacing w:after="120"/>
        <w:contextualSpacing/>
        <w:jc w:val="both"/>
        <w:outlineLvl w:val="9"/>
      </w:pPr>
      <w:r w:rsidRPr="00BA5AA9">
        <w:rPr>
          <w:rFonts w:cs="Times New Roman"/>
        </w:rPr>
        <w:t xml:space="preserve">By either party if the Closing has not occurred by the </w:t>
      </w:r>
      <w:r w:rsidR="00211713">
        <w:rPr>
          <w:rFonts w:cs="Times New Roman"/>
        </w:rPr>
        <w:t>“</w:t>
      </w:r>
      <w:r w:rsidRPr="00BA5AA9">
        <w:rPr>
          <w:rFonts w:cs="Times New Roman"/>
        </w:rPr>
        <w:t>Outside Closing Date</w:t>
      </w:r>
      <w:r w:rsidR="00211713">
        <w:rPr>
          <w:rFonts w:cs="Times New Roman"/>
        </w:rPr>
        <w:t>” set forth in the Definitive Agreements,</w:t>
      </w:r>
      <w:r w:rsidRPr="00BA5AA9">
        <w:rPr>
          <w:rFonts w:cs="Times New Roman"/>
        </w:rPr>
        <w:t xml:space="preserve"> regardless of the reason for such termination, provided that the terminating party is not in breach of the </w:t>
      </w:r>
      <w:r w:rsidR="00327128">
        <w:rPr>
          <w:rFonts w:cs="Times New Roman"/>
        </w:rPr>
        <w:t>Definitive Agreements</w:t>
      </w:r>
      <w:r w:rsidRPr="00BA5AA9">
        <w:rPr>
          <w:rFonts w:cs="Times New Roman"/>
        </w:rPr>
        <w:t>.</w:t>
      </w:r>
    </w:p>
    <w:p w14:paraId="7654A494" w14:textId="13739084"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By either party if regulatory approvals for the transaction are not obtained by</w:t>
      </w:r>
      <w:r w:rsidR="00211713">
        <w:rPr>
          <w:rFonts w:cs="Times New Roman"/>
        </w:rPr>
        <w:t xml:space="preserve"> applicable date</w:t>
      </w:r>
      <w:r w:rsidRPr="00BA5AA9">
        <w:rPr>
          <w:rFonts w:cs="Times New Roman"/>
        </w:rPr>
        <w:t xml:space="preserve"> on terms acceptable to Buyer in its sole discretion.</w:t>
      </w:r>
    </w:p>
    <w:p w14:paraId="39E7071A" w14:textId="5303DC5F" w:rsidR="001310E0" w:rsidRPr="001310E0" w:rsidRDefault="00AB2447" w:rsidP="00D71C36">
      <w:pPr>
        <w:pStyle w:val="ArticleL3"/>
        <w:widowControl w:val="0"/>
        <w:numPr>
          <w:ilvl w:val="0"/>
          <w:numId w:val="26"/>
        </w:numPr>
        <w:tabs>
          <w:tab w:val="left" w:pos="2160"/>
        </w:tabs>
        <w:spacing w:after="120"/>
        <w:contextualSpacing/>
        <w:jc w:val="both"/>
        <w:outlineLvl w:val="9"/>
      </w:pPr>
      <w:r w:rsidRPr="00BA5AA9">
        <w:rPr>
          <w:rFonts w:cs="Times New Roman"/>
        </w:rPr>
        <w:t xml:space="preserve">By Buyer if applicable law or any order issued by, or any other action taken by, an authority restrains, enjoins or otherwise prohibits the consummation of the transactions contemplated by the </w:t>
      </w:r>
      <w:r w:rsidR="00327128">
        <w:rPr>
          <w:rFonts w:cs="Times New Roman"/>
        </w:rPr>
        <w:t>Definitive Agreements</w:t>
      </w:r>
      <w:r w:rsidRPr="00BA5AA9">
        <w:rPr>
          <w:rFonts w:cs="Times New Roman"/>
        </w:rPr>
        <w:t>.</w:t>
      </w:r>
    </w:p>
    <w:p w14:paraId="7654A497" w14:textId="3F5548C8" w:rsidR="00F25E4C" w:rsidRPr="00BA5AA9" w:rsidRDefault="00AB2447" w:rsidP="001310E0">
      <w:pPr>
        <w:pStyle w:val="ArticleL3"/>
        <w:widowControl w:val="0"/>
        <w:numPr>
          <w:ilvl w:val="0"/>
          <w:numId w:val="26"/>
        </w:numPr>
        <w:tabs>
          <w:tab w:val="left" w:pos="2160"/>
        </w:tabs>
        <w:spacing w:after="120"/>
        <w:contextualSpacing/>
        <w:jc w:val="both"/>
        <w:outlineLvl w:val="9"/>
      </w:pPr>
      <w:r w:rsidRPr="00BA5AA9">
        <w:rPr>
          <w:rFonts w:cs="Times New Roman"/>
        </w:rPr>
        <w:t xml:space="preserve">By either party in the event of a material uncured breach or repudiation of the </w:t>
      </w:r>
      <w:r w:rsidR="00327128">
        <w:rPr>
          <w:rFonts w:cs="Times New Roman"/>
        </w:rPr>
        <w:t>Definitive Agreements</w:t>
      </w:r>
      <w:r w:rsidRPr="00BA5AA9">
        <w:rPr>
          <w:rFonts w:cs="Times New Roman"/>
        </w:rPr>
        <w:t xml:space="preserve"> by the other party.</w:t>
      </w:r>
    </w:p>
    <w:p w14:paraId="1D6BE3F8" w14:textId="56789EAD" w:rsidR="002B44AF" w:rsidRPr="002B44AF" w:rsidRDefault="002B44AF" w:rsidP="00BA5AA9">
      <w:pPr>
        <w:pStyle w:val="ArticleL3"/>
        <w:widowControl w:val="0"/>
        <w:numPr>
          <w:ilvl w:val="0"/>
          <w:numId w:val="26"/>
        </w:numPr>
        <w:tabs>
          <w:tab w:val="left" w:pos="2160"/>
        </w:tabs>
        <w:spacing w:after="120"/>
        <w:contextualSpacing/>
        <w:jc w:val="both"/>
        <w:outlineLvl w:val="9"/>
      </w:pPr>
      <w:r w:rsidRPr="00BA5AA9">
        <w:rPr>
          <w:rFonts w:cs="Times New Roman"/>
        </w:rPr>
        <w:t>By Buyer in the event of abandonment of the Facility by Seller or the Company.</w:t>
      </w:r>
    </w:p>
    <w:p w14:paraId="7654A498" w14:textId="48FC984F" w:rsidR="00F25E4C" w:rsidRPr="00BA5AA9" w:rsidRDefault="00AB2447" w:rsidP="00BA5AA9">
      <w:pPr>
        <w:pStyle w:val="ArticleL3"/>
        <w:widowControl w:val="0"/>
        <w:numPr>
          <w:ilvl w:val="0"/>
          <w:numId w:val="26"/>
        </w:numPr>
        <w:tabs>
          <w:tab w:val="left" w:pos="2160"/>
        </w:tabs>
        <w:spacing w:after="120"/>
        <w:contextualSpacing/>
        <w:jc w:val="both"/>
        <w:outlineLvl w:val="9"/>
      </w:pPr>
      <w:r w:rsidRPr="00BA5AA9">
        <w:rPr>
          <w:rFonts w:cs="Times New Roman"/>
        </w:rPr>
        <w:t>By either party if the other party or, in the case of Seller, the provider of the Seller Credit Support, suffers insolvency or bankruptcy.</w:t>
      </w:r>
    </w:p>
    <w:p w14:paraId="115EDC82" w14:textId="22CC7D32" w:rsidR="002B44AF" w:rsidRDefault="00AB2447" w:rsidP="002B44AF">
      <w:pPr>
        <w:pStyle w:val="ArticleL3"/>
        <w:widowControl w:val="0"/>
        <w:numPr>
          <w:ilvl w:val="0"/>
          <w:numId w:val="26"/>
        </w:numPr>
        <w:tabs>
          <w:tab w:val="left" w:pos="2160"/>
        </w:tabs>
        <w:spacing w:after="120"/>
        <w:contextualSpacing/>
        <w:jc w:val="both"/>
        <w:outlineLvl w:val="9"/>
        <w:rPr>
          <w:rFonts w:cs="Times New Roman"/>
        </w:rPr>
      </w:pPr>
      <w:r w:rsidRPr="00BA5AA9">
        <w:rPr>
          <w:rFonts w:cs="Times New Roman"/>
        </w:rPr>
        <w:t>By Buyer if there is a change of control of Seller.</w:t>
      </w:r>
    </w:p>
    <w:p w14:paraId="2723E3B6" w14:textId="77777777" w:rsidR="00F94B7F" w:rsidRPr="00F94B7F" w:rsidRDefault="00F94B7F" w:rsidP="00F94B7F">
      <w:pPr>
        <w:pStyle w:val="BodyText"/>
      </w:pPr>
    </w:p>
    <w:p w14:paraId="77A61717" w14:textId="76ADFE1A" w:rsidR="00AD1A02" w:rsidRDefault="00AB2447" w:rsidP="00A964DB">
      <w:pPr>
        <w:pStyle w:val="ArticleL3"/>
        <w:numPr>
          <w:ilvl w:val="0"/>
          <w:numId w:val="0"/>
        </w:numPr>
        <w:tabs>
          <w:tab w:val="left" w:pos="1080"/>
        </w:tabs>
        <w:spacing w:after="0"/>
        <w:jc w:val="both"/>
        <w:outlineLvl w:val="9"/>
        <w:rPr>
          <w:rFonts w:cs="Times New Roman"/>
        </w:rPr>
      </w:pPr>
      <w:r w:rsidRPr="00BA5AA9">
        <w:rPr>
          <w:rFonts w:cs="Times New Roman"/>
        </w:rPr>
        <w:t>Termination Payment</w:t>
      </w:r>
      <w:r w:rsidR="00A964DB">
        <w:rPr>
          <w:rFonts w:cs="Times New Roman"/>
        </w:rPr>
        <w:t xml:space="preserve"> – </w:t>
      </w:r>
      <w:r w:rsidRPr="00BA5AA9">
        <w:rPr>
          <w:rFonts w:cs="Times New Roman"/>
        </w:rPr>
        <w:t>Without</w:t>
      </w:r>
      <w:r w:rsidR="00A964DB">
        <w:rPr>
          <w:rFonts w:cs="Times New Roman"/>
        </w:rPr>
        <w:t xml:space="preserve"> </w:t>
      </w:r>
      <w:r w:rsidRPr="00BA5AA9">
        <w:rPr>
          <w:rFonts w:cs="Times New Roman"/>
        </w:rPr>
        <w:t xml:space="preserve">limiting any other legal or contractual right or remedy available to Buyer (including Buyer’s rights to liquidated damages under the </w:t>
      </w:r>
      <w:r w:rsidR="00327128">
        <w:rPr>
          <w:rFonts w:cs="Times New Roman"/>
        </w:rPr>
        <w:t>Definitive Agreements</w:t>
      </w:r>
      <w:r w:rsidRPr="00BA5AA9">
        <w:rPr>
          <w:rFonts w:cs="Times New Roman"/>
        </w:rPr>
        <w:t xml:space="preserve"> that accrued prior to such termination), </w:t>
      </w:r>
      <w:r w:rsidR="00C71C6C">
        <w:rPr>
          <w:rFonts w:cs="Times New Roman"/>
        </w:rPr>
        <w:t>the</w:t>
      </w:r>
      <w:r w:rsidRPr="00BA5AA9">
        <w:rPr>
          <w:rFonts w:cs="Times New Roman"/>
        </w:rPr>
        <w:t xml:space="preserve"> </w:t>
      </w:r>
      <w:r w:rsidR="00327128">
        <w:rPr>
          <w:rFonts w:cs="Times New Roman"/>
        </w:rPr>
        <w:t>Definitive Agreements</w:t>
      </w:r>
      <w:r w:rsidR="00C71C6C">
        <w:rPr>
          <w:rFonts w:cs="Times New Roman"/>
        </w:rPr>
        <w:t xml:space="preserve"> will include </w:t>
      </w:r>
      <w:r w:rsidR="0015169B">
        <w:rPr>
          <w:rFonts w:cs="Times New Roman"/>
        </w:rPr>
        <w:t>provisions</w:t>
      </w:r>
      <w:r w:rsidR="00C71C6C">
        <w:rPr>
          <w:rFonts w:cs="Times New Roman"/>
        </w:rPr>
        <w:t xml:space="preserve"> setting forth that</w:t>
      </w:r>
      <w:r w:rsidR="00AA3526">
        <w:rPr>
          <w:rFonts w:cs="Times New Roman"/>
        </w:rPr>
        <w:t>,</w:t>
      </w:r>
      <w:r w:rsidR="00C71C6C">
        <w:rPr>
          <w:rFonts w:cs="Times New Roman"/>
        </w:rPr>
        <w:t xml:space="preserve"> if the Definitive Agreements</w:t>
      </w:r>
      <w:r w:rsidRPr="00BA5AA9">
        <w:rPr>
          <w:rFonts w:cs="Times New Roman"/>
        </w:rPr>
        <w:t xml:space="preserve"> </w:t>
      </w:r>
      <w:r w:rsidR="00327128">
        <w:rPr>
          <w:rFonts w:cs="Times New Roman"/>
        </w:rPr>
        <w:t>are</w:t>
      </w:r>
      <w:r w:rsidRPr="00BA5AA9">
        <w:rPr>
          <w:rFonts w:cs="Times New Roman"/>
        </w:rPr>
        <w:t xml:space="preserve"> terminated</w:t>
      </w:r>
      <w:r w:rsidR="0015169B">
        <w:rPr>
          <w:rFonts w:cs="Times New Roman"/>
        </w:rPr>
        <w:t xml:space="preserve"> by</w:t>
      </w:r>
      <w:r w:rsidRPr="00BA5AA9">
        <w:rPr>
          <w:rFonts w:cs="Times New Roman"/>
        </w:rPr>
        <w:t xml:space="preserve"> Seller</w:t>
      </w:r>
      <w:r w:rsidR="0015169B">
        <w:rPr>
          <w:rFonts w:cs="Times New Roman"/>
        </w:rPr>
        <w:t xml:space="preserve">, Seller </w:t>
      </w:r>
      <w:r w:rsidRPr="00BA5AA9">
        <w:rPr>
          <w:rFonts w:cs="Times New Roman"/>
        </w:rPr>
        <w:t>will pay to Buyer a termination payment</w:t>
      </w:r>
      <w:r w:rsidR="0015169B">
        <w:rPr>
          <w:rFonts w:cs="Times New Roman"/>
        </w:rPr>
        <w:t>.</w:t>
      </w:r>
    </w:p>
    <w:p w14:paraId="2BA371C6" w14:textId="77777777" w:rsidR="00AC5725" w:rsidRPr="00AC5725" w:rsidRDefault="00AC5725" w:rsidP="00D71C36">
      <w:pPr>
        <w:pStyle w:val="BodyText"/>
      </w:pPr>
    </w:p>
    <w:p w14:paraId="1FFDC67B" w14:textId="7107A13F" w:rsidR="009B0186" w:rsidRPr="00FE11D0" w:rsidRDefault="00AB2447" w:rsidP="00FE11D0">
      <w:pPr>
        <w:tabs>
          <w:tab w:val="left" w:pos="1080"/>
        </w:tabs>
        <w:spacing w:after="120"/>
        <w:rPr>
          <w:sz w:val="24"/>
          <w:szCs w:val="24"/>
        </w:rPr>
      </w:pPr>
      <w:r w:rsidRPr="00D71C36">
        <w:rPr>
          <w:sz w:val="24"/>
          <w:szCs w:val="24"/>
        </w:rPr>
        <w:t>Return of Progress Payments</w:t>
      </w:r>
      <w:r w:rsidR="00AC5725">
        <w:rPr>
          <w:sz w:val="24"/>
          <w:szCs w:val="24"/>
        </w:rPr>
        <w:t xml:space="preserve"> – </w:t>
      </w:r>
      <w:r w:rsidRPr="00D71C36">
        <w:rPr>
          <w:sz w:val="24"/>
          <w:szCs w:val="24"/>
        </w:rPr>
        <w:t>In</w:t>
      </w:r>
      <w:r w:rsidR="00AC5725">
        <w:rPr>
          <w:sz w:val="24"/>
          <w:szCs w:val="24"/>
        </w:rPr>
        <w:t xml:space="preserve"> </w:t>
      </w:r>
      <w:r w:rsidRPr="00D71C36">
        <w:rPr>
          <w:sz w:val="24"/>
          <w:szCs w:val="24"/>
        </w:rPr>
        <w:t xml:space="preserve">addition to any termination payment owing by Seller to Buyer, if the </w:t>
      </w:r>
      <w:r w:rsidR="00327128" w:rsidRPr="00D71C36">
        <w:rPr>
          <w:sz w:val="24"/>
          <w:szCs w:val="24"/>
        </w:rPr>
        <w:t>Definitive Agreements</w:t>
      </w:r>
      <w:r w:rsidRPr="00D71C36">
        <w:rPr>
          <w:sz w:val="24"/>
          <w:szCs w:val="24"/>
        </w:rPr>
        <w:t xml:space="preserve"> </w:t>
      </w:r>
      <w:r w:rsidR="00327128" w:rsidRPr="00D71C36">
        <w:rPr>
          <w:sz w:val="24"/>
          <w:szCs w:val="24"/>
        </w:rPr>
        <w:t>are</w:t>
      </w:r>
      <w:r w:rsidRPr="00D71C36">
        <w:rPr>
          <w:sz w:val="24"/>
          <w:szCs w:val="24"/>
        </w:rPr>
        <w:t xml:space="preserve"> terminated prior to Closing</w:t>
      </w:r>
      <w:r w:rsidR="00C71C6C" w:rsidRPr="00D71C36">
        <w:rPr>
          <w:sz w:val="24"/>
          <w:szCs w:val="24"/>
        </w:rPr>
        <w:t>,</w:t>
      </w:r>
      <w:r w:rsidRPr="00D71C36">
        <w:rPr>
          <w:sz w:val="24"/>
          <w:szCs w:val="24"/>
        </w:rPr>
        <w:t xml:space="preserve"> Seller will repay to Buyer the aggregate amount of progress payments paid by Buyer as of such date</w:t>
      </w:r>
      <w:r w:rsidR="00FE11D0">
        <w:rPr>
          <w:sz w:val="24"/>
          <w:szCs w:val="24"/>
        </w:rPr>
        <w:t xml:space="preserve"> of termination</w:t>
      </w:r>
      <w:r w:rsidRPr="00D71C36">
        <w:rPr>
          <w:sz w:val="24"/>
          <w:szCs w:val="24"/>
        </w:rPr>
        <w:t>.</w:t>
      </w:r>
    </w:p>
    <w:p w14:paraId="7654A4A7" w14:textId="6FFEE0AA" w:rsidR="00F25E4C" w:rsidRPr="00BA5AA9" w:rsidRDefault="00B31872" w:rsidP="00BA5AA9">
      <w:pPr>
        <w:spacing w:before="120" w:after="120"/>
        <w:rPr>
          <w:b/>
          <w:bCs/>
          <w:sz w:val="24"/>
          <w:szCs w:val="24"/>
        </w:rPr>
      </w:pPr>
      <w:r w:rsidRPr="00BA5AA9">
        <w:rPr>
          <w:b/>
          <w:bCs/>
          <w:sz w:val="24"/>
          <w:szCs w:val="24"/>
        </w:rPr>
        <w:t>INDEMNIFICATION</w:t>
      </w:r>
    </w:p>
    <w:p w14:paraId="7654A4A8" w14:textId="2A4783AD" w:rsidR="00F25E4C" w:rsidRPr="00BA5AA9" w:rsidRDefault="00AB2447" w:rsidP="00BA5AA9">
      <w:pPr>
        <w:widowControl/>
        <w:spacing w:before="120" w:after="120"/>
        <w:jc w:val="both"/>
        <w:rPr>
          <w:sz w:val="24"/>
          <w:szCs w:val="24"/>
        </w:rPr>
      </w:pPr>
      <w:r w:rsidRPr="00BA5AA9">
        <w:rPr>
          <w:sz w:val="24"/>
          <w:szCs w:val="24"/>
        </w:rPr>
        <w:t xml:space="preserve">Each party shall indemnify and hold harmless the other party and its respective employees, representatives, officers, directors and agents from and against </w:t>
      </w:r>
      <w:proofErr w:type="gramStart"/>
      <w:r w:rsidRPr="00BA5AA9">
        <w:rPr>
          <w:sz w:val="24"/>
          <w:szCs w:val="24"/>
        </w:rPr>
        <w:t>any and all</w:t>
      </w:r>
      <w:proofErr w:type="gramEnd"/>
      <w:r w:rsidRPr="00BA5AA9">
        <w:rPr>
          <w:sz w:val="24"/>
          <w:szCs w:val="24"/>
        </w:rPr>
        <w:t xml:space="preserve"> damages arising out of any </w:t>
      </w:r>
      <w:r w:rsidR="005E2E7B">
        <w:rPr>
          <w:sz w:val="24"/>
          <w:szCs w:val="24"/>
        </w:rPr>
        <w:t xml:space="preserve">of the indemnifying party’s </w:t>
      </w:r>
      <w:r w:rsidRPr="00BA5AA9">
        <w:rPr>
          <w:sz w:val="24"/>
          <w:szCs w:val="24"/>
        </w:rPr>
        <w:t>breach or violation of any representation, warranty, covenant</w:t>
      </w:r>
      <w:r w:rsidR="00E9438C">
        <w:rPr>
          <w:sz w:val="24"/>
          <w:szCs w:val="24"/>
        </w:rPr>
        <w:t xml:space="preserve"> or</w:t>
      </w:r>
      <w:r w:rsidRPr="00BA5AA9">
        <w:rPr>
          <w:sz w:val="24"/>
          <w:szCs w:val="24"/>
        </w:rPr>
        <w:t xml:space="preserve"> inaccuracy within the </w:t>
      </w:r>
      <w:r w:rsidR="00327128">
        <w:rPr>
          <w:sz w:val="24"/>
          <w:szCs w:val="24"/>
        </w:rPr>
        <w:t>Definitive Agreements</w:t>
      </w:r>
      <w:r w:rsidRPr="00BA5AA9">
        <w:rPr>
          <w:sz w:val="24"/>
          <w:szCs w:val="24"/>
        </w:rPr>
        <w:t xml:space="preserve">, or any liability not assumed as part of the </w:t>
      </w:r>
      <w:r w:rsidR="00327128">
        <w:rPr>
          <w:sz w:val="24"/>
          <w:szCs w:val="24"/>
        </w:rPr>
        <w:t xml:space="preserve">Definitive </w:t>
      </w:r>
      <w:r w:rsidR="00327128">
        <w:rPr>
          <w:sz w:val="24"/>
          <w:szCs w:val="24"/>
        </w:rPr>
        <w:lastRenderedPageBreak/>
        <w:t>Agreements</w:t>
      </w:r>
      <w:r w:rsidRPr="00BA5AA9">
        <w:rPr>
          <w:sz w:val="24"/>
          <w:szCs w:val="24"/>
        </w:rPr>
        <w:t xml:space="preserve">, or negligence in performance of the </w:t>
      </w:r>
      <w:r w:rsidR="00327128">
        <w:rPr>
          <w:sz w:val="24"/>
          <w:szCs w:val="24"/>
        </w:rPr>
        <w:t>Definitive Agreements</w:t>
      </w:r>
      <w:r w:rsidRPr="00BA5AA9">
        <w:rPr>
          <w:sz w:val="24"/>
          <w:szCs w:val="24"/>
        </w:rPr>
        <w:t xml:space="preserve">. Seller shall indemnify Buyer for any environmental (including hazardous material) claims arising prior to the Closing date. No claim for indemnification shall be brought against the indemnifying party until the total damages for which such party is liable exceeds in the aggregate a threshold amount of </w:t>
      </w:r>
      <w:r w:rsidR="005E2E7B" w:rsidRPr="004C2D2E">
        <w:rPr>
          <w:sz w:val="24"/>
          <w:szCs w:val="24"/>
          <w:highlight w:val="yellow"/>
        </w:rPr>
        <w:t>0.5</w:t>
      </w:r>
      <w:r w:rsidR="005E2E7B" w:rsidRPr="003E0BB4">
        <w:rPr>
          <w:sz w:val="24"/>
          <w:szCs w:val="24"/>
          <w:highlight w:val="yellow"/>
        </w:rPr>
        <w:t>%</w:t>
      </w:r>
      <w:r w:rsidR="005E2E7B">
        <w:rPr>
          <w:sz w:val="24"/>
          <w:szCs w:val="24"/>
        </w:rPr>
        <w:t xml:space="preserve"> of the Purchase Price, </w:t>
      </w:r>
      <w:r w:rsidRPr="00BA5AA9">
        <w:rPr>
          <w:sz w:val="24"/>
          <w:szCs w:val="24"/>
        </w:rPr>
        <w:t xml:space="preserve">at which point indemnification may be sought for the full aggregate amount of damages, including those amounts that do not exceed the threshold. The aggregate damages to which the indemnified parties are entitled in respect of breaches or representations and warranties shall not exceed the indemnity cap, which shall be </w:t>
      </w:r>
      <w:r w:rsidRPr="00BA5AA9">
        <w:rPr>
          <w:sz w:val="24"/>
          <w:szCs w:val="24"/>
          <w:highlight w:val="yellow"/>
        </w:rPr>
        <w:t>30%</w:t>
      </w:r>
      <w:r w:rsidRPr="00BA5AA9">
        <w:rPr>
          <w:sz w:val="24"/>
          <w:szCs w:val="24"/>
        </w:rPr>
        <w:t xml:space="preserve"> of the purchase price.</w:t>
      </w:r>
      <w:r w:rsidR="0073114D" w:rsidRPr="00BA5AA9">
        <w:rPr>
          <w:rStyle w:val="FootnoteReference"/>
          <w:sz w:val="24"/>
          <w:szCs w:val="24"/>
        </w:rPr>
        <w:footnoteReference w:id="6"/>
      </w:r>
      <w:r w:rsidRPr="00BA5AA9">
        <w:rPr>
          <w:sz w:val="24"/>
          <w:szCs w:val="24"/>
        </w:rPr>
        <w:t xml:space="preserve"> Such threshold and indemnity </w:t>
      </w:r>
      <w:r w:rsidR="00F94B7F">
        <w:rPr>
          <w:sz w:val="24"/>
          <w:szCs w:val="24"/>
        </w:rPr>
        <w:t xml:space="preserve"> </w:t>
      </w:r>
      <w:r w:rsidRPr="00BA5AA9">
        <w:rPr>
          <w:sz w:val="24"/>
          <w:szCs w:val="24"/>
        </w:rPr>
        <w:t>cap shall not apply to damages to the extent they arise from a party’s fraud, willful misconduct or gross negligence or a breach of certain “fundamental” representations (as applicable to each party) such as corporate existence, power, authority, conflicts, title, land contracts, real property,</w:t>
      </w:r>
      <w:r w:rsidR="004C2D2E">
        <w:rPr>
          <w:sz w:val="24"/>
          <w:szCs w:val="24"/>
        </w:rPr>
        <w:t xml:space="preserve"> </w:t>
      </w:r>
      <w:r w:rsidRPr="00BA5AA9">
        <w:rPr>
          <w:sz w:val="24"/>
          <w:szCs w:val="24"/>
        </w:rPr>
        <w:t xml:space="preserve">environmental, intellectual property or tax matters or any liability not assumed as part of the </w:t>
      </w:r>
      <w:r w:rsidR="00327128">
        <w:rPr>
          <w:sz w:val="24"/>
          <w:szCs w:val="24"/>
        </w:rPr>
        <w:t>Definitive Agreements</w:t>
      </w:r>
      <w:r w:rsidRPr="00BA5AA9">
        <w:rPr>
          <w:sz w:val="24"/>
          <w:szCs w:val="24"/>
        </w:rPr>
        <w:t xml:space="preserve">. The aggregate damages to which the indemnified parties are entitled shall not exceed the Purchase Price. Such cap shall not apply to damages to the extent they arise from a party’s fraud, willful misconduct or gross negligence or any liability not assumed as part of the </w:t>
      </w:r>
      <w:r w:rsidR="00327128">
        <w:rPr>
          <w:sz w:val="24"/>
          <w:szCs w:val="24"/>
        </w:rPr>
        <w:t>Definitive Agreements</w:t>
      </w:r>
      <w:r w:rsidRPr="00BA5AA9">
        <w:rPr>
          <w:sz w:val="24"/>
          <w:szCs w:val="24"/>
        </w:rPr>
        <w:t>.</w:t>
      </w:r>
    </w:p>
    <w:p w14:paraId="7654A4AA" w14:textId="37B4F52E" w:rsidR="00F25E4C" w:rsidRPr="00BA5AA9" w:rsidRDefault="00B31872" w:rsidP="00BA5AA9">
      <w:pPr>
        <w:spacing w:before="120" w:after="120"/>
        <w:jc w:val="both"/>
        <w:rPr>
          <w:b/>
          <w:bCs/>
          <w:sz w:val="24"/>
          <w:szCs w:val="24"/>
        </w:rPr>
      </w:pPr>
      <w:r w:rsidRPr="00BA5AA9">
        <w:rPr>
          <w:b/>
          <w:bCs/>
          <w:sz w:val="24"/>
          <w:szCs w:val="24"/>
        </w:rPr>
        <w:t>CHANGES TO TRANSACTION STRUCTURE</w:t>
      </w:r>
    </w:p>
    <w:p w14:paraId="7654A4B2" w14:textId="586B2265" w:rsidR="00F25E4C" w:rsidRDefault="00AB2447">
      <w:pPr>
        <w:spacing w:before="120" w:after="120"/>
        <w:jc w:val="both"/>
        <w:rPr>
          <w:sz w:val="24"/>
          <w:szCs w:val="24"/>
        </w:rPr>
      </w:pPr>
      <w:r w:rsidRPr="00BA5AA9">
        <w:rPr>
          <w:sz w:val="24"/>
          <w:szCs w:val="24"/>
        </w:rPr>
        <w:t xml:space="preserve">The parties recognize that changes to the ITC or PTC may be made, or other incentives for solar energy generation may become available for U.S. federal income tax purposes, and that </w:t>
      </w:r>
      <w:r w:rsidR="008B4E70">
        <w:rPr>
          <w:sz w:val="24"/>
          <w:szCs w:val="24"/>
        </w:rPr>
        <w:t xml:space="preserve">the Definitive Agreements shall include customary change in tax law provisions and agreement of the </w:t>
      </w:r>
      <w:r w:rsidRPr="00BA5AA9">
        <w:rPr>
          <w:sz w:val="24"/>
          <w:szCs w:val="24"/>
        </w:rPr>
        <w:t>parties agree that</w:t>
      </w:r>
      <w:r w:rsidR="008B4E70">
        <w:rPr>
          <w:sz w:val="24"/>
          <w:szCs w:val="24"/>
        </w:rPr>
        <w:t>, in the event of a change in tax law impacting the ITCs or PTCs expected to be available with respect to the Facility,</w:t>
      </w:r>
      <w:r w:rsidRPr="00BA5AA9">
        <w:rPr>
          <w:sz w:val="24"/>
          <w:szCs w:val="24"/>
        </w:rPr>
        <w:t xml:space="preserve"> they will negotiate in good faith to restructure the transaction in a manner that </w:t>
      </w:r>
      <w:r w:rsidR="008B4E70">
        <w:rPr>
          <w:sz w:val="24"/>
          <w:szCs w:val="24"/>
        </w:rPr>
        <w:t>preserves, to the extent possible, the intended economics of the Parties taking into account such change in tax law</w:t>
      </w:r>
      <w:r w:rsidRPr="00BA5AA9">
        <w:rPr>
          <w:sz w:val="24"/>
          <w:szCs w:val="24"/>
        </w:rPr>
        <w:t>.</w:t>
      </w:r>
    </w:p>
    <w:p w14:paraId="3EC10F42" w14:textId="77777777" w:rsidR="00C54BA5" w:rsidRPr="00A505F3" w:rsidRDefault="00C54BA5">
      <w:pPr>
        <w:spacing w:before="120" w:after="120"/>
        <w:jc w:val="both"/>
        <w:rPr>
          <w:sz w:val="24"/>
          <w:szCs w:val="24"/>
        </w:rPr>
      </w:pPr>
    </w:p>
    <w:p w14:paraId="12933865" w14:textId="50854A74" w:rsidR="00435A2D" w:rsidRDefault="00AD1A02" w:rsidP="00C54BA5">
      <w:pPr>
        <w:rPr>
          <w:b/>
          <w:bCs/>
          <w:spacing w:val="-4"/>
          <w:sz w:val="24"/>
          <w:szCs w:val="24"/>
        </w:rPr>
      </w:pPr>
      <w:bookmarkStart w:id="3" w:name="_Toc529595436"/>
      <w:r>
        <w:rPr>
          <w:b/>
          <w:bCs/>
          <w:spacing w:val="-4"/>
          <w:sz w:val="24"/>
          <w:szCs w:val="24"/>
        </w:rPr>
        <w:br w:type="page"/>
      </w:r>
    </w:p>
    <w:p w14:paraId="72A68B7D" w14:textId="77777777" w:rsidR="00AD1A02" w:rsidRDefault="00AD1A02">
      <w:pPr>
        <w:rPr>
          <w:b/>
          <w:bCs/>
          <w:spacing w:val="-4"/>
          <w:sz w:val="24"/>
          <w:szCs w:val="24"/>
        </w:rPr>
      </w:pPr>
    </w:p>
    <w:p w14:paraId="58CA0914" w14:textId="77777777" w:rsidR="00AD1A02" w:rsidRPr="00435A2D" w:rsidRDefault="00AD1A02" w:rsidP="007C2B86">
      <w:pPr>
        <w:jc w:val="center"/>
        <w:rPr>
          <w:b/>
          <w:bCs/>
          <w:spacing w:val="-4"/>
        </w:rPr>
      </w:pPr>
      <w:r w:rsidRPr="00435A2D">
        <w:rPr>
          <w:b/>
          <w:bCs/>
          <w:spacing w:val="-4"/>
        </w:rPr>
        <w:t>EXHIBIT A</w:t>
      </w:r>
    </w:p>
    <w:p w14:paraId="59CB3016" w14:textId="7A2D07AE" w:rsidR="00AD1A02" w:rsidRPr="0018363D" w:rsidRDefault="00AD1A02" w:rsidP="0018363D">
      <w:pPr>
        <w:jc w:val="center"/>
        <w:rPr>
          <w:b/>
          <w:bCs/>
          <w:spacing w:val="-4"/>
        </w:rPr>
      </w:pPr>
      <w:r w:rsidRPr="0018363D">
        <w:rPr>
          <w:b/>
          <w:bCs/>
          <w:spacing w:val="-4"/>
        </w:rPr>
        <w:t>FACILITY DESCRIPTION, ONE-LINE DIAGRAM AND SITE MAP</w:t>
      </w:r>
    </w:p>
    <w:p w14:paraId="6300A471" w14:textId="77777777" w:rsidR="00AD1A02" w:rsidRPr="00773790" w:rsidRDefault="00AD1A02" w:rsidP="00AD1A02">
      <w:pPr>
        <w:overflowPunct w:val="0"/>
        <w:adjustRightInd w:val="0"/>
        <w:rPr>
          <w:rFonts w:cs="Arial"/>
          <w:szCs w:val="24"/>
        </w:rPr>
      </w:pPr>
    </w:p>
    <w:p w14:paraId="2AB164D5" w14:textId="77777777" w:rsidR="00AD1A02" w:rsidRPr="00274A54" w:rsidRDefault="00AD1A02" w:rsidP="00AD1A02">
      <w:pPr>
        <w:overflowPunct w:val="0"/>
        <w:adjustRightInd w:val="0"/>
        <w:jc w:val="center"/>
        <w:rPr>
          <w:rFonts w:cs="Arial"/>
          <w:i/>
          <w:iCs/>
          <w:szCs w:val="24"/>
        </w:rPr>
      </w:pPr>
      <w:r w:rsidRPr="00274A54">
        <w:rPr>
          <w:rFonts w:cs="Arial"/>
          <w:i/>
          <w:iCs/>
          <w:szCs w:val="24"/>
        </w:rPr>
        <w:t>Exhibit A contains a scaled map that identifies the Site, the location of the Facility at the Site, the equipment and components which make up the Facility, a one-line diagram, the location of the Interconnection Point, the location of Electric Metering Devices, and the Point of Delivery.</w:t>
      </w:r>
    </w:p>
    <w:p w14:paraId="72761ACA" w14:textId="77777777" w:rsidR="00AD1A02" w:rsidRDefault="00AD1A02" w:rsidP="00AD1A02">
      <w:pPr>
        <w:overflowPunct w:val="0"/>
        <w:adjustRightInd w:val="0"/>
        <w:rPr>
          <w:rFonts w:cs="Arial"/>
          <w:szCs w:val="24"/>
        </w:rPr>
      </w:pPr>
    </w:p>
    <w:p w14:paraId="31B46014" w14:textId="77777777" w:rsidR="00D81B9E" w:rsidRDefault="00AD1A02" w:rsidP="00AD1A02">
      <w:pPr>
        <w:overflowPunct w:val="0"/>
        <w:adjustRightInd w:val="0"/>
        <w:rPr>
          <w:rFonts w:cs="Arial"/>
          <w:szCs w:val="24"/>
        </w:rPr>
        <w:sectPr w:rsidR="00D81B9E" w:rsidSect="00BA5AA9">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1008" w:left="1296" w:header="576" w:footer="720" w:gutter="0"/>
          <w:cols w:space="720"/>
          <w:docGrid w:linePitch="299"/>
        </w:sectPr>
      </w:pPr>
      <w:r w:rsidRPr="00773790">
        <w:rPr>
          <w:rFonts w:cs="Arial"/>
          <w:szCs w:val="24"/>
        </w:rPr>
        <w:t xml:space="preserve">The Facility will consist of </w:t>
      </w:r>
      <w:r w:rsidRPr="00EF06DA">
        <w:rPr>
          <w:rFonts w:cs="Arial"/>
          <w:szCs w:val="24"/>
          <w:highlight w:val="yellow"/>
        </w:rPr>
        <w:t>_</w:t>
      </w:r>
      <w:r w:rsidRPr="0099511C">
        <w:rPr>
          <w:rFonts w:cs="Arial"/>
          <w:szCs w:val="24"/>
          <w:highlight w:val="yellow"/>
        </w:rPr>
        <w:t>_________</w:t>
      </w:r>
      <w:r w:rsidRPr="00773790">
        <w:rPr>
          <w:rFonts w:cs="Arial"/>
          <w:szCs w:val="24"/>
        </w:rPr>
        <w:t xml:space="preserve"> generators manufactured by </w:t>
      </w:r>
      <w:r w:rsidRPr="0099511C">
        <w:rPr>
          <w:rFonts w:cs="Arial"/>
          <w:szCs w:val="24"/>
          <w:highlight w:val="yellow"/>
        </w:rPr>
        <w:t>_____________</w:t>
      </w:r>
      <w:r w:rsidRPr="00773790">
        <w:rPr>
          <w:rFonts w:cs="Arial"/>
          <w:szCs w:val="24"/>
        </w:rPr>
        <w:t xml:space="preserve"> and designated as its </w:t>
      </w:r>
      <w:r w:rsidRPr="0099511C">
        <w:rPr>
          <w:rFonts w:cs="Arial"/>
          <w:szCs w:val="24"/>
          <w:highlight w:val="yellow"/>
        </w:rPr>
        <w:t>______ [panel type</w:t>
      </w:r>
      <w:r w:rsidRPr="00773790">
        <w:rPr>
          <w:rFonts w:cs="Arial"/>
          <w:szCs w:val="24"/>
        </w:rPr>
        <w:t xml:space="preserve">], including associated </w:t>
      </w:r>
      <w:r w:rsidRPr="0099511C">
        <w:rPr>
          <w:rFonts w:cs="Arial"/>
          <w:szCs w:val="24"/>
          <w:highlight w:val="yellow"/>
        </w:rPr>
        <w:t>___________</w:t>
      </w:r>
      <w:r w:rsidRPr="00773790">
        <w:rPr>
          <w:rFonts w:cs="Arial"/>
          <w:szCs w:val="24"/>
        </w:rPr>
        <w:t xml:space="preserve">, rated at </w:t>
      </w:r>
      <w:r w:rsidRPr="0099511C">
        <w:rPr>
          <w:rFonts w:cs="Arial"/>
          <w:szCs w:val="24"/>
          <w:highlight w:val="yellow"/>
        </w:rPr>
        <w:t>____</w:t>
      </w:r>
      <w:r w:rsidRPr="00773790">
        <w:rPr>
          <w:rFonts w:cs="Arial"/>
          <w:szCs w:val="24"/>
        </w:rPr>
        <w:t xml:space="preserve"> MW, for a total Installed Capacity of </w:t>
      </w:r>
      <w:r w:rsidRPr="0099511C">
        <w:rPr>
          <w:rFonts w:cs="Arial"/>
          <w:szCs w:val="24"/>
          <w:highlight w:val="yellow"/>
        </w:rPr>
        <w:t>____</w:t>
      </w:r>
      <w:r w:rsidRPr="00EF06DA">
        <w:rPr>
          <w:rFonts w:cs="Arial"/>
          <w:szCs w:val="24"/>
          <w:highlight w:val="yellow"/>
        </w:rPr>
        <w:t>_</w:t>
      </w:r>
      <w:r w:rsidRPr="00773790">
        <w:rPr>
          <w:rFonts w:cs="Arial"/>
          <w:szCs w:val="24"/>
        </w:rPr>
        <w:t xml:space="preserve"> MW. </w:t>
      </w:r>
    </w:p>
    <w:p w14:paraId="59BB619F" w14:textId="77777777" w:rsidR="00AD1A02" w:rsidRPr="00773790" w:rsidRDefault="00AD1A02" w:rsidP="00AD1A02">
      <w:pPr>
        <w:overflowPunct w:val="0"/>
        <w:adjustRightInd w:val="0"/>
        <w:jc w:val="center"/>
        <w:rPr>
          <w:rFonts w:cs="Arial"/>
          <w:szCs w:val="24"/>
        </w:rPr>
      </w:pPr>
    </w:p>
    <w:p w14:paraId="6CB0871A" w14:textId="1EBE907B" w:rsidR="00AD1A02" w:rsidRDefault="00A6344A" w:rsidP="00D81B9E">
      <w:pPr>
        <w:jc w:val="center"/>
        <w:rPr>
          <w:b/>
          <w:bCs/>
          <w:spacing w:val="-4"/>
        </w:rPr>
      </w:pPr>
      <w:r>
        <w:rPr>
          <w:b/>
          <w:bCs/>
          <w:spacing w:val="-4"/>
        </w:rPr>
        <w:t>EXHIBIT B</w:t>
      </w:r>
    </w:p>
    <w:p w14:paraId="6DEF16D2" w14:textId="44402AA3" w:rsidR="00AA3E06" w:rsidRPr="00BA5AA9" w:rsidRDefault="00AA3E06" w:rsidP="0018363D">
      <w:pPr>
        <w:jc w:val="center"/>
        <w:rPr>
          <w:b/>
          <w:bCs/>
          <w:spacing w:val="-4"/>
        </w:rPr>
      </w:pPr>
      <w:r w:rsidRPr="00BA5AA9">
        <w:rPr>
          <w:b/>
          <w:bCs/>
          <w:spacing w:val="-4"/>
        </w:rPr>
        <w:t>MAJOR AND COMMERCIAL OPERATION MILESTONE(S</w:t>
      </w:r>
      <w:bookmarkEnd w:id="3"/>
      <w:r w:rsidRPr="00BA5AA9">
        <w:rPr>
          <w:b/>
          <w:bCs/>
          <w:spacing w:val="-4"/>
        </w:rPr>
        <w:t>)</w:t>
      </w:r>
    </w:p>
    <w:p w14:paraId="084B7958" w14:textId="77777777" w:rsidR="00AA3E06" w:rsidRPr="00BA5AA9" w:rsidRDefault="00AA3E06" w:rsidP="00AA3E06">
      <w:pPr>
        <w:jc w:val="center"/>
        <w:rPr>
          <w:rStyle w:val="PageNumber"/>
          <w:rFonts w:ascii="Times New Roman" w:hAnsi="Times New Roman"/>
          <w:b w:val="0"/>
          <w:sz w:val="24"/>
          <w:szCs w:val="24"/>
        </w:rPr>
      </w:pPr>
    </w:p>
    <w:tbl>
      <w:tblPr>
        <w:tblStyle w:val="TableGrid"/>
        <w:tblW w:w="0" w:type="auto"/>
        <w:tblLook w:val="04A0" w:firstRow="1" w:lastRow="0" w:firstColumn="1" w:lastColumn="0" w:noHBand="0" w:noVBand="1"/>
      </w:tblPr>
      <w:tblGrid>
        <w:gridCol w:w="4675"/>
        <w:gridCol w:w="4675"/>
      </w:tblGrid>
      <w:tr w:rsidR="00AA3E06" w:rsidRPr="00AD1A02" w14:paraId="71AD4DA7" w14:textId="77777777" w:rsidTr="00BA5AA9">
        <w:tc>
          <w:tcPr>
            <w:tcW w:w="4675" w:type="dxa"/>
            <w:shd w:val="clear" w:color="auto" w:fill="D9D9D9" w:themeFill="background1" w:themeFillShade="D9"/>
          </w:tcPr>
          <w:p w14:paraId="527ACC9B" w14:textId="77777777" w:rsidR="00AA3E06" w:rsidRPr="00BA5AA9" w:rsidRDefault="00AA3E06" w:rsidP="00274A54">
            <w:pPr>
              <w:jc w:val="center"/>
              <w:rPr>
                <w:b/>
                <w:sz w:val="24"/>
                <w:szCs w:val="24"/>
              </w:rPr>
            </w:pPr>
            <w:r w:rsidRPr="00BA5AA9">
              <w:rPr>
                <w:b/>
                <w:sz w:val="24"/>
                <w:szCs w:val="24"/>
              </w:rPr>
              <w:t>Milestone</w:t>
            </w:r>
          </w:p>
        </w:tc>
        <w:tc>
          <w:tcPr>
            <w:tcW w:w="4675" w:type="dxa"/>
            <w:shd w:val="clear" w:color="auto" w:fill="D9D9D9" w:themeFill="background1" w:themeFillShade="D9"/>
          </w:tcPr>
          <w:p w14:paraId="4C083385" w14:textId="77777777" w:rsidR="00AA3E06" w:rsidRPr="00BA5AA9" w:rsidRDefault="00AA3E06" w:rsidP="00274A54">
            <w:pPr>
              <w:jc w:val="center"/>
              <w:rPr>
                <w:b/>
                <w:sz w:val="24"/>
                <w:szCs w:val="24"/>
              </w:rPr>
            </w:pPr>
            <w:r w:rsidRPr="00BA5AA9">
              <w:rPr>
                <w:b/>
                <w:sz w:val="24"/>
                <w:szCs w:val="24"/>
              </w:rPr>
              <w:t>Date</w:t>
            </w:r>
          </w:p>
        </w:tc>
      </w:tr>
      <w:tr w:rsidR="00AA3E06" w:rsidRPr="00AD1A02" w14:paraId="506E8311" w14:textId="77777777" w:rsidTr="00274A54">
        <w:tc>
          <w:tcPr>
            <w:tcW w:w="4675" w:type="dxa"/>
          </w:tcPr>
          <w:p w14:paraId="208905CB" w14:textId="77777777" w:rsidR="00AA3E06" w:rsidRPr="00BA5AA9" w:rsidRDefault="00AA3E06" w:rsidP="00274A54">
            <w:pPr>
              <w:rPr>
                <w:b/>
                <w:sz w:val="24"/>
                <w:szCs w:val="24"/>
              </w:rPr>
            </w:pPr>
            <w:r w:rsidRPr="00BA5AA9">
              <w:rPr>
                <w:b/>
                <w:sz w:val="24"/>
                <w:szCs w:val="24"/>
              </w:rPr>
              <w:t>Site Control Agreement Executed</w:t>
            </w:r>
          </w:p>
        </w:tc>
        <w:tc>
          <w:tcPr>
            <w:tcW w:w="4675" w:type="dxa"/>
          </w:tcPr>
          <w:p w14:paraId="43AFF59E" w14:textId="77777777" w:rsidR="00AA3E06" w:rsidRPr="0099511C" w:rsidRDefault="00AA3E06" w:rsidP="00274A54">
            <w:pPr>
              <w:rPr>
                <w:b/>
                <w:sz w:val="24"/>
                <w:szCs w:val="24"/>
              </w:rPr>
            </w:pPr>
          </w:p>
        </w:tc>
      </w:tr>
      <w:tr w:rsidR="00AA3E06" w:rsidRPr="00AD1A02" w14:paraId="057AEECE" w14:textId="77777777" w:rsidTr="00274A54">
        <w:tc>
          <w:tcPr>
            <w:tcW w:w="4675" w:type="dxa"/>
          </w:tcPr>
          <w:p w14:paraId="3AA706C2" w14:textId="08D30591" w:rsidR="00AA3E06" w:rsidRPr="00BA5AA9" w:rsidRDefault="00AA3E06" w:rsidP="00274A54">
            <w:pPr>
              <w:rPr>
                <w:b/>
                <w:sz w:val="24"/>
                <w:szCs w:val="24"/>
              </w:rPr>
            </w:pPr>
            <w:r w:rsidRPr="00BA5AA9">
              <w:rPr>
                <w:b/>
                <w:sz w:val="24"/>
                <w:szCs w:val="24"/>
              </w:rPr>
              <w:t xml:space="preserve">All </w:t>
            </w:r>
            <w:r w:rsidR="00E77FCD" w:rsidRPr="00BA5AA9">
              <w:rPr>
                <w:b/>
                <w:sz w:val="24"/>
                <w:szCs w:val="24"/>
              </w:rPr>
              <w:t>Facility</w:t>
            </w:r>
            <w:r w:rsidRPr="00BA5AA9">
              <w:rPr>
                <w:b/>
                <w:sz w:val="24"/>
                <w:szCs w:val="24"/>
              </w:rPr>
              <w:t xml:space="preserve"> Permits Received</w:t>
            </w:r>
          </w:p>
        </w:tc>
        <w:tc>
          <w:tcPr>
            <w:tcW w:w="4675" w:type="dxa"/>
          </w:tcPr>
          <w:p w14:paraId="34BB0350" w14:textId="77777777" w:rsidR="00AA3E06" w:rsidRPr="0099511C" w:rsidRDefault="00AA3E06" w:rsidP="00274A54">
            <w:pPr>
              <w:rPr>
                <w:b/>
                <w:sz w:val="24"/>
                <w:szCs w:val="24"/>
              </w:rPr>
            </w:pPr>
          </w:p>
        </w:tc>
      </w:tr>
      <w:tr w:rsidR="00AA3E06" w:rsidRPr="00AD1A02" w14:paraId="0C691B8C" w14:textId="77777777" w:rsidTr="00274A54">
        <w:tc>
          <w:tcPr>
            <w:tcW w:w="4675" w:type="dxa"/>
          </w:tcPr>
          <w:p w14:paraId="58280709" w14:textId="77777777" w:rsidR="00AA3E06" w:rsidRPr="00BA5AA9" w:rsidRDefault="00AA3E06" w:rsidP="00274A54">
            <w:pPr>
              <w:rPr>
                <w:b/>
                <w:sz w:val="24"/>
                <w:szCs w:val="24"/>
              </w:rPr>
            </w:pPr>
            <w:r w:rsidRPr="00BA5AA9">
              <w:rPr>
                <w:b/>
                <w:sz w:val="24"/>
                <w:szCs w:val="24"/>
              </w:rPr>
              <w:t>Interconnection Agreement Executed</w:t>
            </w:r>
          </w:p>
        </w:tc>
        <w:tc>
          <w:tcPr>
            <w:tcW w:w="4675" w:type="dxa"/>
          </w:tcPr>
          <w:p w14:paraId="12A2D8F0" w14:textId="77777777" w:rsidR="00AA3E06" w:rsidRPr="0099511C" w:rsidRDefault="00AA3E06" w:rsidP="00274A54">
            <w:pPr>
              <w:rPr>
                <w:b/>
                <w:sz w:val="24"/>
                <w:szCs w:val="24"/>
              </w:rPr>
            </w:pPr>
          </w:p>
        </w:tc>
      </w:tr>
      <w:tr w:rsidR="00AA3E06" w:rsidRPr="00AD1A02" w14:paraId="081BF5A9" w14:textId="77777777" w:rsidTr="00274A54">
        <w:tc>
          <w:tcPr>
            <w:tcW w:w="4675" w:type="dxa"/>
          </w:tcPr>
          <w:p w14:paraId="375291B7" w14:textId="77777777" w:rsidR="00AA3E06" w:rsidRPr="00BA5AA9" w:rsidRDefault="00AA3E06" w:rsidP="00274A54">
            <w:pPr>
              <w:rPr>
                <w:b/>
                <w:sz w:val="24"/>
                <w:szCs w:val="24"/>
              </w:rPr>
            </w:pPr>
            <w:r w:rsidRPr="00BA5AA9">
              <w:rPr>
                <w:b/>
                <w:sz w:val="24"/>
                <w:szCs w:val="24"/>
              </w:rPr>
              <w:t>Execution of all Construction Contracts required to Construct the Facility</w:t>
            </w:r>
          </w:p>
        </w:tc>
        <w:tc>
          <w:tcPr>
            <w:tcW w:w="4675" w:type="dxa"/>
          </w:tcPr>
          <w:p w14:paraId="75ACFABC" w14:textId="77777777" w:rsidR="00AA3E06" w:rsidRPr="0099511C" w:rsidRDefault="00AA3E06" w:rsidP="00274A54">
            <w:pPr>
              <w:rPr>
                <w:b/>
                <w:sz w:val="24"/>
                <w:szCs w:val="24"/>
              </w:rPr>
            </w:pPr>
          </w:p>
        </w:tc>
      </w:tr>
      <w:tr w:rsidR="00AA3E06" w:rsidRPr="00AD1A02" w14:paraId="0A26A611" w14:textId="77777777" w:rsidTr="00274A54">
        <w:tc>
          <w:tcPr>
            <w:tcW w:w="4675" w:type="dxa"/>
          </w:tcPr>
          <w:p w14:paraId="33AC1582" w14:textId="77777777" w:rsidR="00AA3E06" w:rsidRPr="00BA5AA9" w:rsidRDefault="00AA3E06" w:rsidP="00274A54">
            <w:pPr>
              <w:rPr>
                <w:b/>
                <w:sz w:val="24"/>
                <w:szCs w:val="24"/>
              </w:rPr>
            </w:pPr>
            <w:r w:rsidRPr="00BA5AA9">
              <w:rPr>
                <w:b/>
                <w:sz w:val="24"/>
                <w:szCs w:val="24"/>
              </w:rPr>
              <w:t>Closing on Financing for the Facility with Proof of Financial Capability to Construct the Facility</w:t>
            </w:r>
          </w:p>
        </w:tc>
        <w:tc>
          <w:tcPr>
            <w:tcW w:w="4675" w:type="dxa"/>
          </w:tcPr>
          <w:p w14:paraId="6BC1F025" w14:textId="77777777" w:rsidR="00AA3E06" w:rsidRPr="0099511C" w:rsidRDefault="00AA3E06" w:rsidP="00274A54">
            <w:pPr>
              <w:rPr>
                <w:b/>
                <w:sz w:val="24"/>
                <w:szCs w:val="24"/>
              </w:rPr>
            </w:pPr>
          </w:p>
        </w:tc>
      </w:tr>
      <w:tr w:rsidR="00AA3E06" w:rsidRPr="00AD1A02" w14:paraId="68F2FD51" w14:textId="77777777" w:rsidTr="00274A54">
        <w:tc>
          <w:tcPr>
            <w:tcW w:w="4675" w:type="dxa"/>
          </w:tcPr>
          <w:p w14:paraId="07BD9FF0" w14:textId="77777777" w:rsidR="00AA3E06" w:rsidRPr="00BA5AA9" w:rsidRDefault="00AA3E06" w:rsidP="00274A54">
            <w:pPr>
              <w:rPr>
                <w:b/>
                <w:sz w:val="24"/>
                <w:szCs w:val="24"/>
              </w:rPr>
            </w:pPr>
            <w:r w:rsidRPr="00BA5AA9">
              <w:rPr>
                <w:b/>
                <w:sz w:val="24"/>
                <w:szCs w:val="24"/>
              </w:rPr>
              <w:t>Issuance of Full Notice to Proceed to Contractor</w:t>
            </w:r>
          </w:p>
        </w:tc>
        <w:tc>
          <w:tcPr>
            <w:tcW w:w="4675" w:type="dxa"/>
          </w:tcPr>
          <w:p w14:paraId="10AD71CA" w14:textId="77777777" w:rsidR="00AA3E06" w:rsidRPr="0099511C" w:rsidRDefault="00AA3E06" w:rsidP="00274A54">
            <w:pPr>
              <w:rPr>
                <w:b/>
                <w:sz w:val="24"/>
                <w:szCs w:val="24"/>
              </w:rPr>
            </w:pPr>
          </w:p>
        </w:tc>
      </w:tr>
      <w:tr w:rsidR="00AA3E06" w:rsidRPr="00AD1A02" w14:paraId="6BD881C7" w14:textId="77777777" w:rsidTr="00274A54">
        <w:tc>
          <w:tcPr>
            <w:tcW w:w="4675" w:type="dxa"/>
          </w:tcPr>
          <w:p w14:paraId="4CECE956" w14:textId="77777777" w:rsidR="00AA3E06" w:rsidRPr="00BA5AA9" w:rsidRDefault="00AA3E06" w:rsidP="00274A54">
            <w:pPr>
              <w:rPr>
                <w:b/>
                <w:sz w:val="24"/>
                <w:szCs w:val="24"/>
              </w:rPr>
            </w:pPr>
            <w:r w:rsidRPr="00BA5AA9">
              <w:rPr>
                <w:b/>
                <w:sz w:val="24"/>
                <w:szCs w:val="24"/>
              </w:rPr>
              <w:t>All PV Modules and Step-Up Transformers Delivered and Installed at the Site</w:t>
            </w:r>
          </w:p>
        </w:tc>
        <w:tc>
          <w:tcPr>
            <w:tcW w:w="4675" w:type="dxa"/>
          </w:tcPr>
          <w:p w14:paraId="37C06B13" w14:textId="77777777" w:rsidR="00AA3E06" w:rsidRPr="0099511C" w:rsidRDefault="00AA3E06" w:rsidP="00274A54">
            <w:pPr>
              <w:rPr>
                <w:b/>
                <w:sz w:val="24"/>
                <w:szCs w:val="24"/>
              </w:rPr>
            </w:pPr>
          </w:p>
        </w:tc>
      </w:tr>
      <w:tr w:rsidR="00AA3E06" w:rsidRPr="00AD1A02" w14:paraId="6C62A911" w14:textId="77777777" w:rsidTr="00274A54">
        <w:tc>
          <w:tcPr>
            <w:tcW w:w="4675" w:type="dxa"/>
          </w:tcPr>
          <w:p w14:paraId="6BF7B33D" w14:textId="77777777" w:rsidR="00AA3E06" w:rsidRPr="00BA5AA9" w:rsidRDefault="00AA3E06" w:rsidP="00274A54">
            <w:pPr>
              <w:rPr>
                <w:b/>
                <w:sz w:val="24"/>
                <w:szCs w:val="24"/>
              </w:rPr>
            </w:pPr>
            <w:r w:rsidRPr="00BA5AA9">
              <w:rPr>
                <w:b/>
                <w:sz w:val="24"/>
                <w:szCs w:val="24"/>
              </w:rPr>
              <w:t>Interconnection Facilities Placed In-Service</w:t>
            </w:r>
          </w:p>
        </w:tc>
        <w:tc>
          <w:tcPr>
            <w:tcW w:w="4675" w:type="dxa"/>
          </w:tcPr>
          <w:p w14:paraId="18A4266C" w14:textId="77777777" w:rsidR="00AA3E06" w:rsidRPr="0099511C" w:rsidRDefault="00AA3E06" w:rsidP="00274A54">
            <w:pPr>
              <w:rPr>
                <w:b/>
                <w:sz w:val="24"/>
                <w:szCs w:val="24"/>
              </w:rPr>
            </w:pPr>
          </w:p>
        </w:tc>
      </w:tr>
      <w:tr w:rsidR="00AA3E06" w:rsidRPr="00AD1A02" w14:paraId="6BC2EA78" w14:textId="77777777" w:rsidTr="00274A54">
        <w:tc>
          <w:tcPr>
            <w:tcW w:w="4675" w:type="dxa"/>
          </w:tcPr>
          <w:p w14:paraId="1FFCD4FC" w14:textId="77777777" w:rsidR="00AA3E06" w:rsidRPr="00BA5AA9" w:rsidRDefault="00AA3E06" w:rsidP="00274A54">
            <w:pPr>
              <w:rPr>
                <w:b/>
                <w:sz w:val="24"/>
                <w:szCs w:val="24"/>
              </w:rPr>
            </w:pPr>
            <w:r w:rsidRPr="00BA5AA9">
              <w:rPr>
                <w:b/>
                <w:sz w:val="24"/>
                <w:szCs w:val="24"/>
              </w:rPr>
              <w:t>Mechanical Completion</w:t>
            </w:r>
          </w:p>
        </w:tc>
        <w:tc>
          <w:tcPr>
            <w:tcW w:w="4675" w:type="dxa"/>
          </w:tcPr>
          <w:p w14:paraId="418378ED" w14:textId="77777777" w:rsidR="00AA3E06" w:rsidRPr="0099511C" w:rsidRDefault="00AA3E06" w:rsidP="00274A54">
            <w:pPr>
              <w:rPr>
                <w:b/>
                <w:sz w:val="24"/>
                <w:szCs w:val="24"/>
              </w:rPr>
            </w:pPr>
          </w:p>
        </w:tc>
      </w:tr>
      <w:tr w:rsidR="00AA3E06" w:rsidRPr="00AD1A02" w14:paraId="3D567A23" w14:textId="77777777" w:rsidTr="00274A54">
        <w:tc>
          <w:tcPr>
            <w:tcW w:w="4675" w:type="dxa"/>
          </w:tcPr>
          <w:p w14:paraId="2FA9FDA6" w14:textId="0E2B4F0B" w:rsidR="00AA3E06" w:rsidRPr="00BA5AA9" w:rsidRDefault="00F34F6B" w:rsidP="00274A54">
            <w:pPr>
              <w:rPr>
                <w:b/>
                <w:sz w:val="24"/>
                <w:szCs w:val="24"/>
              </w:rPr>
            </w:pPr>
            <w:r>
              <w:rPr>
                <w:b/>
                <w:sz w:val="24"/>
                <w:szCs w:val="24"/>
              </w:rPr>
              <w:t>Substantial Completion</w:t>
            </w:r>
          </w:p>
        </w:tc>
        <w:tc>
          <w:tcPr>
            <w:tcW w:w="4675" w:type="dxa"/>
          </w:tcPr>
          <w:p w14:paraId="27748D1E" w14:textId="77777777" w:rsidR="00AA3E06" w:rsidRPr="0099511C" w:rsidRDefault="00AA3E06" w:rsidP="00274A54">
            <w:pPr>
              <w:rPr>
                <w:b/>
                <w:sz w:val="24"/>
                <w:szCs w:val="24"/>
              </w:rPr>
            </w:pPr>
          </w:p>
        </w:tc>
      </w:tr>
      <w:tr w:rsidR="00AA3E06" w:rsidRPr="00AD1A02" w14:paraId="169A0C6C" w14:textId="77777777" w:rsidTr="00274A54">
        <w:tc>
          <w:tcPr>
            <w:tcW w:w="4675" w:type="dxa"/>
          </w:tcPr>
          <w:p w14:paraId="39985A12" w14:textId="77777777" w:rsidR="00AA3E06" w:rsidRPr="00BA5AA9" w:rsidRDefault="00AA3E06" w:rsidP="00274A54">
            <w:pPr>
              <w:rPr>
                <w:b/>
                <w:sz w:val="24"/>
                <w:szCs w:val="24"/>
              </w:rPr>
            </w:pPr>
            <w:r w:rsidRPr="00BA5AA9">
              <w:rPr>
                <w:b/>
                <w:sz w:val="24"/>
                <w:szCs w:val="24"/>
              </w:rPr>
              <w:t>Commercial Operation Date</w:t>
            </w:r>
          </w:p>
        </w:tc>
        <w:tc>
          <w:tcPr>
            <w:tcW w:w="4675" w:type="dxa"/>
          </w:tcPr>
          <w:p w14:paraId="24C437B6" w14:textId="77777777" w:rsidR="00AA3E06" w:rsidRPr="0099511C" w:rsidRDefault="00AA3E06" w:rsidP="00274A54">
            <w:pPr>
              <w:rPr>
                <w:b/>
                <w:sz w:val="24"/>
                <w:szCs w:val="24"/>
              </w:rPr>
            </w:pPr>
          </w:p>
        </w:tc>
      </w:tr>
    </w:tbl>
    <w:p w14:paraId="3026E4FA" w14:textId="544F542C" w:rsidR="007C2B86" w:rsidRDefault="007C2B86" w:rsidP="00BA5AA9">
      <w:pPr>
        <w:spacing w:before="120" w:after="120"/>
        <w:jc w:val="both"/>
        <w:rPr>
          <w:sz w:val="24"/>
          <w:szCs w:val="24"/>
        </w:rPr>
      </w:pPr>
    </w:p>
    <w:p w14:paraId="025D0556" w14:textId="77777777" w:rsidR="007C2B86" w:rsidRDefault="007C2B86">
      <w:pPr>
        <w:rPr>
          <w:sz w:val="24"/>
          <w:szCs w:val="24"/>
        </w:rPr>
      </w:pPr>
      <w:r>
        <w:rPr>
          <w:sz w:val="24"/>
          <w:szCs w:val="24"/>
        </w:rPr>
        <w:br w:type="page"/>
      </w:r>
    </w:p>
    <w:p w14:paraId="59A1118F" w14:textId="77777777" w:rsidR="00990B82" w:rsidRDefault="00990B82" w:rsidP="007C2B86">
      <w:pPr>
        <w:jc w:val="center"/>
        <w:rPr>
          <w:b/>
          <w:bCs/>
          <w:spacing w:val="-4"/>
        </w:rPr>
      </w:pPr>
    </w:p>
    <w:p w14:paraId="3ABCCCE9" w14:textId="37F1FDC4" w:rsidR="007C2B86" w:rsidRDefault="007C2B86" w:rsidP="007C2B86">
      <w:pPr>
        <w:jc w:val="center"/>
        <w:rPr>
          <w:b/>
          <w:bCs/>
          <w:spacing w:val="-4"/>
        </w:rPr>
      </w:pPr>
      <w:r>
        <w:rPr>
          <w:b/>
          <w:bCs/>
          <w:spacing w:val="-4"/>
        </w:rPr>
        <w:t>EXHIBIT C</w:t>
      </w:r>
    </w:p>
    <w:p w14:paraId="6C149482" w14:textId="5BCC97C1" w:rsidR="007C2B86" w:rsidRDefault="007C2B86" w:rsidP="007C2B86">
      <w:pPr>
        <w:jc w:val="center"/>
        <w:rPr>
          <w:b/>
          <w:bCs/>
          <w:spacing w:val="-4"/>
        </w:rPr>
      </w:pPr>
      <w:r>
        <w:rPr>
          <w:b/>
          <w:bCs/>
          <w:spacing w:val="-4"/>
        </w:rPr>
        <w:t>PRICING AND INSTALLMENT PAYMENTS</w:t>
      </w:r>
    </w:p>
    <w:p w14:paraId="323E7A23" w14:textId="77777777" w:rsidR="007C2B86" w:rsidRDefault="007C2B86" w:rsidP="007C2B86">
      <w:pPr>
        <w:jc w:val="center"/>
        <w:rPr>
          <w:b/>
          <w:bCs/>
          <w:spacing w:val="-4"/>
        </w:rPr>
      </w:pPr>
    </w:p>
    <w:p w14:paraId="3798AFF3" w14:textId="77777777" w:rsidR="007C2B86" w:rsidRDefault="007C2B86" w:rsidP="007C2B86">
      <w:pPr>
        <w:jc w:val="center"/>
        <w:rPr>
          <w:b/>
          <w:bCs/>
          <w:spacing w:val="-4"/>
        </w:rPr>
      </w:pPr>
    </w:p>
    <w:p w14:paraId="1316EF21" w14:textId="55A7615F" w:rsidR="007C2B86" w:rsidRPr="00773790" w:rsidRDefault="007C2B86" w:rsidP="007C2B86">
      <w:pPr>
        <w:overflowPunct w:val="0"/>
        <w:adjustRightInd w:val="0"/>
        <w:rPr>
          <w:rFonts w:cs="Arial"/>
          <w:szCs w:val="24"/>
        </w:rPr>
      </w:pPr>
      <w:r w:rsidRPr="00773790">
        <w:rPr>
          <w:rFonts w:cs="Arial"/>
          <w:szCs w:val="24"/>
        </w:rPr>
        <w:t xml:space="preserve">The </w:t>
      </w:r>
      <w:r>
        <w:rPr>
          <w:rFonts w:cs="Arial"/>
          <w:szCs w:val="24"/>
        </w:rPr>
        <w:t>Purchase Price [</w:t>
      </w:r>
      <w:r w:rsidRPr="002319D0">
        <w:rPr>
          <w:rFonts w:cs="Arial"/>
          <w:szCs w:val="24"/>
          <w:highlight w:val="yellow"/>
        </w:rPr>
        <w:t>$XXX</w:t>
      </w:r>
      <w:r>
        <w:rPr>
          <w:rFonts w:cs="Arial"/>
          <w:szCs w:val="24"/>
        </w:rPr>
        <w:t>], first installment of (</w:t>
      </w:r>
      <w:r w:rsidR="00990B82" w:rsidRPr="002319D0">
        <w:rPr>
          <w:rFonts w:cs="Arial"/>
          <w:szCs w:val="24"/>
          <w:highlight w:val="yellow"/>
        </w:rPr>
        <w:t>XX</w:t>
      </w:r>
      <w:r>
        <w:rPr>
          <w:rFonts w:cs="Arial"/>
          <w:szCs w:val="24"/>
        </w:rPr>
        <w:t>% x [</w:t>
      </w:r>
      <w:r w:rsidRPr="002319D0">
        <w:rPr>
          <w:rFonts w:cs="Arial"/>
          <w:szCs w:val="24"/>
          <w:highlight w:val="yellow"/>
        </w:rPr>
        <w:t>$XXX</w:t>
      </w:r>
      <w:r>
        <w:rPr>
          <w:rFonts w:cs="Arial"/>
          <w:szCs w:val="24"/>
        </w:rPr>
        <w:t xml:space="preserve">]) to be paid </w:t>
      </w:r>
      <w:r w:rsidR="0088023F">
        <w:rPr>
          <w:rFonts w:cs="Arial"/>
          <w:szCs w:val="24"/>
        </w:rPr>
        <w:t>at Commencement</w:t>
      </w:r>
      <w:r w:rsidR="00765377">
        <w:rPr>
          <w:rFonts w:cs="Arial"/>
          <w:szCs w:val="24"/>
        </w:rPr>
        <w:t xml:space="preserve">, </w:t>
      </w:r>
      <w:r w:rsidR="0088023F">
        <w:rPr>
          <w:rFonts w:cs="Arial"/>
          <w:szCs w:val="24"/>
        </w:rPr>
        <w:t xml:space="preserve">the </w:t>
      </w:r>
      <w:r>
        <w:rPr>
          <w:rFonts w:cs="Arial"/>
          <w:szCs w:val="24"/>
        </w:rPr>
        <w:t xml:space="preserve">second installment of </w:t>
      </w:r>
      <w:bookmarkStart w:id="4" w:name="_Hlk187065833"/>
      <w:r>
        <w:rPr>
          <w:rFonts w:cs="Arial"/>
          <w:szCs w:val="24"/>
        </w:rPr>
        <w:t>(</w:t>
      </w:r>
      <w:r w:rsidR="00990B82" w:rsidRPr="002319D0">
        <w:rPr>
          <w:rFonts w:cs="Arial"/>
          <w:szCs w:val="24"/>
          <w:highlight w:val="yellow"/>
        </w:rPr>
        <w:t>XX</w:t>
      </w:r>
      <w:r>
        <w:rPr>
          <w:rFonts w:cs="Arial"/>
          <w:szCs w:val="24"/>
        </w:rPr>
        <w:t>% x [</w:t>
      </w:r>
      <w:r w:rsidRPr="002319D0">
        <w:rPr>
          <w:rFonts w:cs="Arial"/>
          <w:szCs w:val="24"/>
          <w:highlight w:val="yellow"/>
        </w:rPr>
        <w:t>$XXX</w:t>
      </w:r>
      <w:r>
        <w:rPr>
          <w:rFonts w:cs="Arial"/>
          <w:szCs w:val="24"/>
        </w:rPr>
        <w:t>]) to be paid</w:t>
      </w:r>
      <w:bookmarkEnd w:id="4"/>
      <w:r>
        <w:rPr>
          <w:rFonts w:cs="Arial"/>
          <w:szCs w:val="24"/>
        </w:rPr>
        <w:t xml:space="preserve"> </w:t>
      </w:r>
      <w:r w:rsidR="00E729F1">
        <w:rPr>
          <w:rFonts w:cs="Arial"/>
          <w:szCs w:val="24"/>
        </w:rPr>
        <w:t>on the Closing Date</w:t>
      </w:r>
      <w:r w:rsidR="00765377">
        <w:rPr>
          <w:rFonts w:cs="Arial"/>
          <w:szCs w:val="24"/>
        </w:rPr>
        <w:t xml:space="preserve"> and the third installment of (</w:t>
      </w:r>
      <w:r w:rsidR="00765377" w:rsidRPr="002319D0">
        <w:rPr>
          <w:rFonts w:cs="Arial"/>
          <w:szCs w:val="24"/>
          <w:highlight w:val="yellow"/>
        </w:rPr>
        <w:t>XX</w:t>
      </w:r>
      <w:r w:rsidR="00765377">
        <w:rPr>
          <w:rFonts w:cs="Arial"/>
          <w:szCs w:val="24"/>
        </w:rPr>
        <w:t>% x [</w:t>
      </w:r>
      <w:r w:rsidR="00765377" w:rsidRPr="002319D0">
        <w:rPr>
          <w:rFonts w:cs="Arial"/>
          <w:szCs w:val="24"/>
          <w:highlight w:val="yellow"/>
        </w:rPr>
        <w:t>$XXX</w:t>
      </w:r>
      <w:r w:rsidR="00765377">
        <w:rPr>
          <w:rFonts w:cs="Arial"/>
          <w:szCs w:val="24"/>
        </w:rPr>
        <w:t>]) to be paid up on Substantial Completion of the Project.</w:t>
      </w:r>
      <w:r w:rsidR="00765377">
        <w:rPr>
          <w:rStyle w:val="FootnoteReference"/>
          <w:rFonts w:cs="Arial"/>
          <w:szCs w:val="24"/>
        </w:rPr>
        <w:footnoteReference w:id="7"/>
      </w:r>
    </w:p>
    <w:p w14:paraId="14F1995F" w14:textId="77777777" w:rsidR="007C2B86" w:rsidRDefault="007C2B86" w:rsidP="007C2B86">
      <w:pPr>
        <w:jc w:val="center"/>
        <w:rPr>
          <w:b/>
          <w:bCs/>
          <w:spacing w:val="-4"/>
        </w:rPr>
      </w:pPr>
    </w:p>
    <w:p w14:paraId="2BB4DB57" w14:textId="77777777" w:rsidR="00AA3E06" w:rsidRPr="00BA5AA9" w:rsidRDefault="00AA3E06" w:rsidP="00BA5AA9">
      <w:pPr>
        <w:spacing w:before="120" w:after="120"/>
        <w:jc w:val="both"/>
        <w:rPr>
          <w:sz w:val="24"/>
          <w:szCs w:val="24"/>
        </w:rPr>
      </w:pPr>
    </w:p>
    <w:sectPr w:rsidR="00AA3E06" w:rsidRPr="00BA5AA9" w:rsidSect="00BA5AA9">
      <w:pgSz w:w="12240" w:h="15840"/>
      <w:pgMar w:top="1440" w:right="1296" w:bottom="1008" w:left="1296"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CBB91" w14:textId="77777777" w:rsidR="00CB1F85" w:rsidRDefault="00CB1F85">
      <w:r>
        <w:separator/>
      </w:r>
    </w:p>
  </w:endnote>
  <w:endnote w:type="continuationSeparator" w:id="0">
    <w:p w14:paraId="51169E59" w14:textId="77777777" w:rsidR="00CB1F85" w:rsidRDefault="00CB1F85">
      <w:r>
        <w:continuationSeparator/>
      </w:r>
    </w:p>
  </w:endnote>
  <w:endnote w:type="continuationNotice" w:id="1">
    <w:p w14:paraId="1946A351" w14:textId="77777777" w:rsidR="00CB1F85" w:rsidRDefault="00CB1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99F5" w14:textId="77777777" w:rsidR="002B44AF" w:rsidRDefault="002B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ADAC" w14:textId="756453E9" w:rsidR="00930F01" w:rsidRPr="003F7F24" w:rsidRDefault="00930F01">
    <w:pPr>
      <w:pStyle w:val="Footer"/>
      <w:rPr>
        <w:sz w:val="18"/>
        <w:szCs w:val="18"/>
      </w:rPr>
    </w:pPr>
    <w:r w:rsidRPr="003F7F24">
      <w:rPr>
        <w:sz w:val="18"/>
        <w:szCs w:val="18"/>
      </w:rPr>
      <w:tab/>
    </w:r>
    <w:r w:rsidR="003F7F24" w:rsidRPr="003F7F24">
      <w:rPr>
        <w:sz w:val="18"/>
        <w:szCs w:val="18"/>
      </w:rPr>
      <w:t xml:space="preserve">Page </w:t>
    </w:r>
    <w:r w:rsidR="003F7F24" w:rsidRPr="003F7F24">
      <w:rPr>
        <w:b/>
        <w:bCs/>
        <w:sz w:val="18"/>
        <w:szCs w:val="18"/>
      </w:rPr>
      <w:fldChar w:fldCharType="begin"/>
    </w:r>
    <w:r w:rsidR="003F7F24" w:rsidRPr="003F7F24">
      <w:rPr>
        <w:b/>
        <w:bCs/>
        <w:sz w:val="18"/>
        <w:szCs w:val="18"/>
      </w:rPr>
      <w:instrText xml:space="preserve"> PAGE  \* Arabic  \* MERGEFORMAT </w:instrText>
    </w:r>
    <w:r w:rsidR="003F7F24" w:rsidRPr="003F7F24">
      <w:rPr>
        <w:b/>
        <w:bCs/>
        <w:sz w:val="18"/>
        <w:szCs w:val="18"/>
      </w:rPr>
      <w:fldChar w:fldCharType="separate"/>
    </w:r>
    <w:r w:rsidR="003F7F24" w:rsidRPr="003F7F24">
      <w:rPr>
        <w:b/>
        <w:bCs/>
        <w:noProof/>
        <w:sz w:val="18"/>
        <w:szCs w:val="18"/>
      </w:rPr>
      <w:t>1</w:t>
    </w:r>
    <w:r w:rsidR="003F7F24" w:rsidRPr="003F7F24">
      <w:rPr>
        <w:b/>
        <w:bCs/>
        <w:sz w:val="18"/>
        <w:szCs w:val="18"/>
      </w:rPr>
      <w:fldChar w:fldCharType="end"/>
    </w:r>
    <w:r w:rsidR="003F7F24" w:rsidRPr="003F7F24">
      <w:rPr>
        <w:sz w:val="18"/>
        <w:szCs w:val="18"/>
      </w:rPr>
      <w:t xml:space="preserve"> of </w:t>
    </w:r>
    <w:r w:rsidR="003F7F24" w:rsidRPr="003F7F24">
      <w:rPr>
        <w:b/>
        <w:bCs/>
        <w:sz w:val="18"/>
        <w:szCs w:val="18"/>
      </w:rPr>
      <w:fldChar w:fldCharType="begin"/>
    </w:r>
    <w:r w:rsidR="003F7F24" w:rsidRPr="003F7F24">
      <w:rPr>
        <w:b/>
        <w:bCs/>
        <w:sz w:val="18"/>
        <w:szCs w:val="18"/>
      </w:rPr>
      <w:instrText xml:space="preserve"> NUMPAGES  \* Arabic  \* MERGEFORMAT </w:instrText>
    </w:r>
    <w:r w:rsidR="003F7F24" w:rsidRPr="003F7F24">
      <w:rPr>
        <w:b/>
        <w:bCs/>
        <w:sz w:val="18"/>
        <w:szCs w:val="18"/>
      </w:rPr>
      <w:fldChar w:fldCharType="separate"/>
    </w:r>
    <w:r w:rsidR="003F7F24" w:rsidRPr="003F7F24">
      <w:rPr>
        <w:b/>
        <w:bCs/>
        <w:noProof/>
        <w:sz w:val="18"/>
        <w:szCs w:val="18"/>
      </w:rPr>
      <w:t>2</w:t>
    </w:r>
    <w:r w:rsidR="003F7F24" w:rsidRPr="003F7F24">
      <w:rPr>
        <w:b/>
        <w:bCs/>
        <w:sz w:val="18"/>
        <w:szCs w:val="18"/>
      </w:rPr>
      <w:fldChar w:fldCharType="end"/>
    </w:r>
    <w:r w:rsidR="003F7F24" w:rsidRPr="003F7F24">
      <w:rPr>
        <w:b/>
        <w:b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A8AD" w14:textId="77777777" w:rsidR="002B44AF" w:rsidRDefault="002B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7B0B" w14:textId="77777777" w:rsidR="00CB1F85" w:rsidRDefault="00CB1F85">
      <w:r>
        <w:separator/>
      </w:r>
    </w:p>
  </w:footnote>
  <w:footnote w:type="continuationSeparator" w:id="0">
    <w:p w14:paraId="5FA66286" w14:textId="77777777" w:rsidR="00CB1F85" w:rsidRDefault="00CB1F85">
      <w:r>
        <w:continuationSeparator/>
      </w:r>
    </w:p>
  </w:footnote>
  <w:footnote w:type="continuationNotice" w:id="1">
    <w:p w14:paraId="6742C9AB" w14:textId="77777777" w:rsidR="00CB1F85" w:rsidRDefault="00CB1F85"/>
  </w:footnote>
  <w:footnote w:id="2">
    <w:p w14:paraId="1E464872" w14:textId="118E8F6B" w:rsidR="00F34F6B" w:rsidRDefault="00F34F6B">
      <w:pPr>
        <w:pStyle w:val="FootnoteText"/>
      </w:pPr>
      <w:r>
        <w:rPr>
          <w:rStyle w:val="FootnoteReference"/>
        </w:rPr>
        <w:footnoteRef/>
      </w:r>
      <w:r>
        <w:t xml:space="preserve"> NTD: MP reserves the right to propose alternative acquisition structures in its sole discretion, including but not limited to development stage acquisitions. </w:t>
      </w:r>
    </w:p>
  </w:footnote>
  <w:footnote w:id="3">
    <w:p w14:paraId="13BF8DD3" w14:textId="1FC20B25" w:rsidR="004D555D" w:rsidRDefault="004D555D">
      <w:pPr>
        <w:pStyle w:val="FootnoteText"/>
      </w:pPr>
      <w:r>
        <w:rPr>
          <w:rStyle w:val="FootnoteReference"/>
        </w:rPr>
        <w:footnoteRef/>
      </w:r>
      <w:r>
        <w:t xml:space="preserve"> NTD: Such length (inclusive of renewal options) must exceed estimated useful life of the Facility.</w:t>
      </w:r>
    </w:p>
  </w:footnote>
  <w:footnote w:id="4">
    <w:p w14:paraId="0A9C65BE" w14:textId="54947918" w:rsidR="007B4F38" w:rsidRDefault="007B4F38">
      <w:pPr>
        <w:pStyle w:val="FootnoteText"/>
      </w:pPr>
      <w:r>
        <w:rPr>
          <w:rStyle w:val="FootnoteReference"/>
        </w:rPr>
        <w:footnoteRef/>
      </w:r>
      <w:r>
        <w:t xml:space="preserve"> NTD: May require modification pending final</w:t>
      </w:r>
      <w:r w:rsidR="00FE11D0">
        <w:t>ization of</w:t>
      </w:r>
      <w:r>
        <w:t xml:space="preserve"> acquisition structure; for </w:t>
      </w:r>
      <w:proofErr w:type="gramStart"/>
      <w:r>
        <w:t>example</w:t>
      </w:r>
      <w:proofErr w:type="gramEnd"/>
      <w:r>
        <w:t xml:space="preserve"> a development services agreement</w:t>
      </w:r>
      <w:r w:rsidR="00765377">
        <w:t xml:space="preserve"> or construction management services agreement</w:t>
      </w:r>
      <w:r>
        <w:t xml:space="preserve"> may be required. </w:t>
      </w:r>
    </w:p>
  </w:footnote>
  <w:footnote w:id="5">
    <w:p w14:paraId="02304E9B" w14:textId="4327B336" w:rsidR="00294C4A" w:rsidRDefault="00294C4A">
      <w:pPr>
        <w:pStyle w:val="FootnoteText"/>
      </w:pPr>
      <w:r>
        <w:rPr>
          <w:rStyle w:val="FootnoteReference"/>
        </w:rPr>
        <w:footnoteRef/>
      </w:r>
      <w:r>
        <w:t xml:space="preserve"> NTD: To be modified depending on approved transaction structure and subject to Buyer diligence. </w:t>
      </w:r>
    </w:p>
  </w:footnote>
  <w:footnote w:id="6">
    <w:p w14:paraId="012B54EA" w14:textId="24F3FE71" w:rsidR="0073114D" w:rsidRPr="00930F01" w:rsidRDefault="0073114D" w:rsidP="00930F01">
      <w:pPr>
        <w:spacing w:after="120"/>
        <w:jc w:val="both"/>
        <w:rPr>
          <w:sz w:val="18"/>
          <w:szCs w:val="18"/>
        </w:rPr>
      </w:pPr>
      <w:r w:rsidRPr="00930F01">
        <w:rPr>
          <w:rStyle w:val="FootnoteReference"/>
          <w:sz w:val="18"/>
          <w:szCs w:val="18"/>
        </w:rPr>
        <w:footnoteRef/>
      </w:r>
      <w:r w:rsidRPr="00930F01">
        <w:rPr>
          <w:sz w:val="18"/>
          <w:szCs w:val="18"/>
        </w:rPr>
        <w:t xml:space="preserve"> If deemed appropriate by Buyer based on the size and/or technology of the </w:t>
      </w:r>
      <w:r w:rsidR="00E77FCD">
        <w:rPr>
          <w:sz w:val="18"/>
          <w:szCs w:val="18"/>
        </w:rPr>
        <w:t>Facility</w:t>
      </w:r>
      <w:r w:rsidRPr="00930F01">
        <w:rPr>
          <w:sz w:val="18"/>
          <w:szCs w:val="18"/>
        </w:rPr>
        <w:t>, the indemnity threshold and cap may be determined on a $/kW or $/MW basis.</w:t>
      </w:r>
    </w:p>
  </w:footnote>
  <w:footnote w:id="7">
    <w:p w14:paraId="1720BFC7" w14:textId="53432514" w:rsidR="00765377" w:rsidRDefault="00765377">
      <w:pPr>
        <w:pStyle w:val="FootnoteText"/>
      </w:pPr>
      <w:r>
        <w:rPr>
          <w:rStyle w:val="FootnoteReference"/>
        </w:rPr>
        <w:footnoteRef/>
      </w:r>
      <w:r>
        <w:t xml:space="preserve"> Note to Seller: The total of the first and second payments should not exceed 20% of the Purchase Price.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A84" w14:textId="77777777" w:rsidR="002B44AF" w:rsidRDefault="002B4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A4C6" w14:textId="7AC1247E" w:rsidR="00F25E4C" w:rsidRPr="00F04185" w:rsidRDefault="001B0FB9" w:rsidP="00BA5AA9">
    <w:pPr>
      <w:jc w:val="center"/>
    </w:pPr>
    <w:r>
      <w:rPr>
        <w:rFonts w:asciiTheme="minorHAnsi" w:hAnsiTheme="minorHAnsi" w:cstheme="minorHAnsi"/>
        <w:b/>
        <w:noProof/>
        <w:color w:val="1F497D" w:themeColor="text2"/>
        <w:sz w:val="24"/>
      </w:rPr>
      <w:drawing>
        <wp:anchor distT="0" distB="0" distL="114300" distR="114300" simplePos="0" relativeHeight="251658240" behindDoc="1" locked="0" layoutInCell="1" allowOverlap="1" wp14:anchorId="59BF2B2B" wp14:editId="6ABE5F03">
          <wp:simplePos x="0" y="0"/>
          <wp:positionH relativeFrom="column">
            <wp:posOffset>-670761</wp:posOffset>
          </wp:positionH>
          <wp:positionV relativeFrom="paragraph">
            <wp:posOffset>-286552</wp:posOffset>
          </wp:positionV>
          <wp:extent cx="1227221" cy="948264"/>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221" cy="948264"/>
                  </a:xfrm>
                  <a:prstGeom prst="rect">
                    <a:avLst/>
                  </a:prstGeom>
                  <a:noFill/>
                </pic:spPr>
              </pic:pic>
            </a:graphicData>
          </a:graphic>
        </wp:anchor>
      </w:drawing>
    </w:r>
    <w:r w:rsidR="0080576D" w:rsidRPr="0080576D">
      <w:rPr>
        <w:rFonts w:asciiTheme="minorHAnsi" w:hAnsiTheme="minorHAnsi" w:cstheme="minorHAnsi"/>
        <w:b/>
        <w:color w:val="1F497D" w:themeColor="text2"/>
        <w:sz w:val="24"/>
      </w:rPr>
      <w:t>TERM SHEET</w:t>
    </w:r>
    <w:r w:rsidR="0011713F">
      <w:rPr>
        <w:rFonts w:asciiTheme="minorHAnsi" w:hAnsiTheme="minorHAnsi" w:cstheme="minorHAnsi"/>
        <w:b/>
        <w:color w:val="1F497D" w:themeColor="text2"/>
        <w:sz w:val="24"/>
      </w:rPr>
      <w:t xml:space="preserve"> </w:t>
    </w:r>
    <w:r w:rsidR="0080576D" w:rsidRPr="0080576D">
      <w:rPr>
        <w:rFonts w:asciiTheme="minorHAnsi" w:hAnsiTheme="minorHAnsi" w:cstheme="minorHAnsi"/>
        <w:b/>
        <w:color w:val="1F497D" w:themeColor="text2"/>
        <w:sz w:val="24"/>
      </w:rPr>
      <w:t xml:space="preserve">FOR </w:t>
    </w:r>
    <w:r w:rsidR="002322F8">
      <w:rPr>
        <w:rFonts w:asciiTheme="minorHAnsi" w:hAnsiTheme="minorHAnsi" w:cstheme="minorHAnsi"/>
        <w:b/>
        <w:color w:val="1F497D" w:themeColor="text2"/>
        <w:sz w:val="24"/>
      </w:rPr>
      <w:t>BUILD OWN TRANSFER (BOT)</w:t>
    </w:r>
    <w:r w:rsidR="0011713F">
      <w:rPr>
        <w:rFonts w:asciiTheme="minorHAnsi" w:hAnsiTheme="minorHAnsi" w:cstheme="minorHAnsi"/>
        <w:b/>
        <w:color w:val="1F497D" w:themeColor="text2"/>
        <w:sz w:val="24"/>
      </w:rPr>
      <w:t xml:space="preserve"> </w:t>
    </w:r>
    <w:r w:rsidR="00453F36">
      <w:rPr>
        <w:rFonts w:asciiTheme="minorHAnsi" w:hAnsiTheme="minorHAnsi" w:cstheme="minorHAnsi"/>
        <w:b/>
        <w:color w:val="1F497D" w:themeColor="text2"/>
        <w:sz w:val="24"/>
      </w:rPr>
      <w:t>RENEWABLE ENERGY</w:t>
    </w:r>
    <w:r w:rsidR="002322F8">
      <w:rPr>
        <w:rFonts w:asciiTheme="minorHAnsi" w:hAnsiTheme="minorHAnsi" w:cstheme="minorHAnsi"/>
        <w:b/>
        <w:color w:val="1F497D" w:themeColor="text2"/>
        <w:sz w:val="24"/>
      </w:rPr>
      <w:t xml:space="preserve"> RESOURCE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02A0" w14:textId="77777777" w:rsidR="002B44AF" w:rsidRDefault="002B4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EF1"/>
    <w:multiLevelType w:val="multilevel"/>
    <w:tmpl w:val="1138F03C"/>
    <w:name w:val="DocXtoolsCompanion_1"/>
    <w:lvl w:ilvl="0">
      <w:start w:val="1"/>
      <w:numFmt w:val="decimal"/>
      <w:lvlRestart w:val="0"/>
      <w:pStyle w:val="ArticleL1"/>
      <w:suff w:val="nothing"/>
      <w:lvlText w:val="ARTICLE %1"/>
      <w:lvlJc w:val="left"/>
      <w:pPr>
        <w:tabs>
          <w:tab w:val="num" w:pos="4860"/>
        </w:tabs>
        <w:ind w:left="414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icleL2"/>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pStyle w:val="ArticleL3"/>
      <w:lvlText w:val="%1.%2.%3"/>
      <w:lvlJc w:val="left"/>
      <w:pPr>
        <w:tabs>
          <w:tab w:val="num" w:pos="3780"/>
        </w:tabs>
        <w:ind w:left="162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rticleL4"/>
      <w:lvlText w:val="(%4)"/>
      <w:lvlJc w:val="left"/>
      <w:pPr>
        <w:tabs>
          <w:tab w:val="num" w:pos="2880"/>
        </w:tabs>
        <w:ind w:left="0" w:firstLine="2160"/>
      </w:pPr>
      <w:rPr>
        <w:rFonts w:ascii="Times New Roman" w:eastAsia="Times New Roman" w:hAnsi="Times New Roman" w:cs="Times New Roman" w:hint="default"/>
        <w:b w:val="0"/>
        <w:i w:val="0"/>
        <w:caps w:val="0"/>
        <w:smallCaps w:val="0"/>
        <w:sz w:val="24"/>
        <w:szCs w:val="24"/>
        <w:u w:val="none"/>
      </w:rPr>
    </w:lvl>
    <w:lvl w:ilvl="4">
      <w:start w:val="1"/>
      <w:numFmt w:val="lowerRoman"/>
      <w:pStyle w:val="Article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pStyle w:val="Article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pStyle w:val="ArticleL7"/>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pStyle w:val="ArticleL8"/>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pStyle w:val="ArticleL9"/>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1" w15:restartNumberingAfterBreak="0">
    <w:nsid w:val="08F30166"/>
    <w:multiLevelType w:val="multilevel"/>
    <w:tmpl w:val="0409001D"/>
    <w:name w:val="DocXtoolsCompanion_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3E2D9C"/>
    <w:multiLevelType w:val="multilevel"/>
    <w:tmpl w:val="0409001D"/>
    <w:name w:val="DocXtoolsCompanion_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450965"/>
    <w:multiLevelType w:val="hybridMultilevel"/>
    <w:tmpl w:val="46A8F3E6"/>
    <w:name w:val="DocXtoolsCompanion_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A39"/>
    <w:multiLevelType w:val="hybridMultilevel"/>
    <w:tmpl w:val="83BC4278"/>
    <w:name w:val="DocXtoolsCompanion_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12DF2"/>
    <w:multiLevelType w:val="hybridMultilevel"/>
    <w:tmpl w:val="A89ABF38"/>
    <w:name w:val="DocXtoolsCompanion_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B6E"/>
    <w:multiLevelType w:val="hybridMultilevel"/>
    <w:tmpl w:val="6412A0BE"/>
    <w:name w:val="DocXtoolsCompanion_7"/>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6058B"/>
    <w:multiLevelType w:val="hybridMultilevel"/>
    <w:tmpl w:val="48345850"/>
    <w:name w:val="DocXtoolsCompanion_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2A7B8E"/>
    <w:multiLevelType w:val="hybridMultilevel"/>
    <w:tmpl w:val="A3BC15E6"/>
    <w:name w:val="DocXtoolsCompanion_9"/>
    <w:lvl w:ilvl="0" w:tplc="803A9050">
      <w:numFmt w:val="bullet"/>
      <w:lvlText w:val=""/>
      <w:lvlJc w:val="left"/>
      <w:pPr>
        <w:ind w:left="820" w:hanging="360"/>
      </w:pPr>
      <w:rPr>
        <w:rFonts w:ascii="Wingdings" w:eastAsia="Wingdings" w:hAnsi="Wingdings" w:cs="Wingdings" w:hint="default"/>
        <w:w w:val="99"/>
        <w:sz w:val="24"/>
        <w:szCs w:val="24"/>
      </w:rPr>
    </w:lvl>
    <w:lvl w:ilvl="1" w:tplc="EC6A404E">
      <w:numFmt w:val="bullet"/>
      <w:lvlText w:val="o"/>
      <w:lvlJc w:val="left"/>
      <w:pPr>
        <w:ind w:left="1180" w:hanging="360"/>
      </w:pPr>
      <w:rPr>
        <w:rFonts w:ascii="Courier New" w:eastAsia="Courier New" w:hAnsi="Courier New" w:cs="Courier New" w:hint="default"/>
        <w:w w:val="99"/>
        <w:sz w:val="24"/>
        <w:szCs w:val="24"/>
      </w:rPr>
    </w:lvl>
    <w:lvl w:ilvl="2" w:tplc="4970CEFE">
      <w:numFmt w:val="bullet"/>
      <w:lvlText w:val=""/>
      <w:lvlJc w:val="left"/>
      <w:pPr>
        <w:ind w:left="2980" w:hanging="360"/>
      </w:pPr>
      <w:rPr>
        <w:rFonts w:ascii="Wingdings" w:eastAsia="Wingdings" w:hAnsi="Wingdings" w:cs="Wingdings" w:hint="default"/>
        <w:w w:val="99"/>
        <w:sz w:val="24"/>
        <w:szCs w:val="24"/>
      </w:rPr>
    </w:lvl>
    <w:lvl w:ilvl="3" w:tplc="662E5A6A">
      <w:numFmt w:val="bullet"/>
      <w:lvlText w:val="•"/>
      <w:lvlJc w:val="left"/>
      <w:pPr>
        <w:ind w:left="2980" w:hanging="360"/>
      </w:pPr>
      <w:rPr>
        <w:rFonts w:hint="default"/>
      </w:rPr>
    </w:lvl>
    <w:lvl w:ilvl="4" w:tplc="2BFA950C">
      <w:numFmt w:val="bullet"/>
      <w:lvlText w:val="•"/>
      <w:lvlJc w:val="left"/>
      <w:pPr>
        <w:ind w:left="4022" w:hanging="360"/>
      </w:pPr>
      <w:rPr>
        <w:rFonts w:hint="default"/>
      </w:rPr>
    </w:lvl>
    <w:lvl w:ilvl="5" w:tplc="6798D2DE">
      <w:numFmt w:val="bullet"/>
      <w:lvlText w:val="•"/>
      <w:lvlJc w:val="left"/>
      <w:pPr>
        <w:ind w:left="5065" w:hanging="360"/>
      </w:pPr>
      <w:rPr>
        <w:rFonts w:hint="default"/>
      </w:rPr>
    </w:lvl>
    <w:lvl w:ilvl="6" w:tplc="3C7CF0EA">
      <w:numFmt w:val="bullet"/>
      <w:lvlText w:val="•"/>
      <w:lvlJc w:val="left"/>
      <w:pPr>
        <w:ind w:left="6108" w:hanging="360"/>
      </w:pPr>
      <w:rPr>
        <w:rFonts w:hint="default"/>
      </w:rPr>
    </w:lvl>
    <w:lvl w:ilvl="7" w:tplc="E95AC976">
      <w:numFmt w:val="bullet"/>
      <w:lvlText w:val="•"/>
      <w:lvlJc w:val="left"/>
      <w:pPr>
        <w:ind w:left="7151" w:hanging="360"/>
      </w:pPr>
      <w:rPr>
        <w:rFonts w:hint="default"/>
      </w:rPr>
    </w:lvl>
    <w:lvl w:ilvl="8" w:tplc="3C90E312">
      <w:numFmt w:val="bullet"/>
      <w:lvlText w:val="•"/>
      <w:lvlJc w:val="left"/>
      <w:pPr>
        <w:ind w:left="8194" w:hanging="360"/>
      </w:pPr>
      <w:rPr>
        <w:rFonts w:hint="default"/>
      </w:rPr>
    </w:lvl>
  </w:abstractNum>
  <w:abstractNum w:abstractNumId="9" w15:restartNumberingAfterBreak="0">
    <w:nsid w:val="32CA2A01"/>
    <w:multiLevelType w:val="hybridMultilevel"/>
    <w:tmpl w:val="2FB21A3A"/>
    <w:name w:val="DocXtoolsCompanion_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5819"/>
    <w:multiLevelType w:val="hybridMultilevel"/>
    <w:tmpl w:val="01F2ED3C"/>
    <w:name w:val="DocXtoolsCompanion_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34E48"/>
    <w:multiLevelType w:val="multilevel"/>
    <w:tmpl w:val="D94019EC"/>
    <w:name w:val="Bullet_outlinedc"/>
    <w:lvl w:ilvl="0">
      <w:start w:val="1"/>
      <w:numFmt w:val="bullet"/>
      <w:pStyle w:val="Bulletoutlinedc1"/>
      <w:lvlText w:val=""/>
      <w:lvlJc w:val="left"/>
      <w:pPr>
        <w:ind w:left="360" w:hanging="360"/>
      </w:pPr>
      <w:rPr>
        <w:rFonts w:ascii="Symbol" w:hAnsi="Symbol"/>
      </w:rPr>
    </w:lvl>
    <w:lvl w:ilvl="1">
      <w:start w:val="1"/>
      <w:numFmt w:val="bullet"/>
      <w:pStyle w:val="Bulletoutlinedc2"/>
      <w:lvlText w:val=""/>
      <w:lvlJc w:val="left"/>
      <w:pPr>
        <w:ind w:left="720" w:hanging="360"/>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E5356"/>
    <w:multiLevelType w:val="hybridMultilevel"/>
    <w:tmpl w:val="C2FCF984"/>
    <w:name w:val="DocXtoolsCompanion_13"/>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C124F96"/>
    <w:multiLevelType w:val="hybridMultilevel"/>
    <w:tmpl w:val="CC6E3ECC"/>
    <w:name w:val="DocXtoolsCompanion_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A7908"/>
    <w:multiLevelType w:val="hybridMultilevel"/>
    <w:tmpl w:val="FE4A2BDA"/>
    <w:name w:val="DocXtoolsCompanion_15"/>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3F5D185A"/>
    <w:multiLevelType w:val="hybridMultilevel"/>
    <w:tmpl w:val="D2E06F5E"/>
    <w:name w:val="DocXtoolsCompanion_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0FA"/>
    <w:multiLevelType w:val="hybridMultilevel"/>
    <w:tmpl w:val="2494CA88"/>
    <w:name w:val="DocXtoolsCompanion_17"/>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948C1"/>
    <w:multiLevelType w:val="hybridMultilevel"/>
    <w:tmpl w:val="D048188C"/>
    <w:name w:val="DocXtoolsCompanion_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A2BDD"/>
    <w:multiLevelType w:val="hybridMultilevel"/>
    <w:tmpl w:val="DFAC810A"/>
    <w:name w:val="DocXtoolsCompanion_19"/>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106C5"/>
    <w:multiLevelType w:val="hybridMultilevel"/>
    <w:tmpl w:val="DCFADB5E"/>
    <w:name w:val="DocXtoolsCompanion_20"/>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0" w15:restartNumberingAfterBreak="0">
    <w:nsid w:val="59196A7A"/>
    <w:multiLevelType w:val="hybridMultilevel"/>
    <w:tmpl w:val="23A02406"/>
    <w:name w:val="DocXtoolsCompanion_21"/>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133878"/>
    <w:multiLevelType w:val="hybridMultilevel"/>
    <w:tmpl w:val="0882D9BC"/>
    <w:name w:val="DocXtoolsCompanion_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CB7A39"/>
    <w:multiLevelType w:val="hybridMultilevel"/>
    <w:tmpl w:val="7A0A3648"/>
    <w:name w:val="DocXtoolsCompanion_23"/>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CF7849"/>
    <w:multiLevelType w:val="multilevel"/>
    <w:tmpl w:val="8E6898BE"/>
    <w:name w:val="DocXtoolsCompanion_2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6167E5"/>
    <w:multiLevelType w:val="hybridMultilevel"/>
    <w:tmpl w:val="29C86404"/>
    <w:name w:val="DocXtoolsCompanion_25"/>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06BFE"/>
    <w:multiLevelType w:val="hybridMultilevel"/>
    <w:tmpl w:val="59CA087A"/>
    <w:name w:val="DocXtoolsCompanion_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399418">
    <w:abstractNumId w:val="8"/>
  </w:num>
  <w:num w:numId="2" w16cid:durableId="1490168495">
    <w:abstractNumId w:val="15"/>
  </w:num>
  <w:num w:numId="3" w16cid:durableId="560596333">
    <w:abstractNumId w:val="17"/>
  </w:num>
  <w:num w:numId="4" w16cid:durableId="1142623783">
    <w:abstractNumId w:val="9"/>
  </w:num>
  <w:num w:numId="5" w16cid:durableId="589508140">
    <w:abstractNumId w:val="24"/>
  </w:num>
  <w:num w:numId="6" w16cid:durableId="579871087">
    <w:abstractNumId w:val="18"/>
  </w:num>
  <w:num w:numId="7" w16cid:durableId="1315917899">
    <w:abstractNumId w:val="5"/>
  </w:num>
  <w:num w:numId="8" w16cid:durableId="1210654655">
    <w:abstractNumId w:val="6"/>
  </w:num>
  <w:num w:numId="9" w16cid:durableId="1522937486">
    <w:abstractNumId w:val="10"/>
  </w:num>
  <w:num w:numId="10" w16cid:durableId="60100996">
    <w:abstractNumId w:val="4"/>
  </w:num>
  <w:num w:numId="11" w16cid:durableId="83310193">
    <w:abstractNumId w:val="20"/>
  </w:num>
  <w:num w:numId="12" w16cid:durableId="2018997130">
    <w:abstractNumId w:val="12"/>
  </w:num>
  <w:num w:numId="13" w16cid:durableId="661667535">
    <w:abstractNumId w:val="13"/>
  </w:num>
  <w:num w:numId="14" w16cid:durableId="452136279">
    <w:abstractNumId w:val="25"/>
  </w:num>
  <w:num w:numId="15" w16cid:durableId="374819050">
    <w:abstractNumId w:val="2"/>
  </w:num>
  <w:num w:numId="16" w16cid:durableId="1152873116">
    <w:abstractNumId w:val="0"/>
  </w:num>
  <w:num w:numId="17" w16cid:durableId="1363675768">
    <w:abstractNumId w:val="0"/>
  </w:num>
  <w:num w:numId="18" w16cid:durableId="1234662253">
    <w:abstractNumId w:val="1"/>
  </w:num>
  <w:num w:numId="19" w16cid:durableId="1542475772">
    <w:abstractNumId w:val="23"/>
  </w:num>
  <w:num w:numId="20" w16cid:durableId="1768430168">
    <w:abstractNumId w:val="16"/>
  </w:num>
  <w:num w:numId="21" w16cid:durableId="1461262038">
    <w:abstractNumId w:val="14"/>
  </w:num>
  <w:num w:numId="22" w16cid:durableId="1037120997">
    <w:abstractNumId w:val="19"/>
  </w:num>
  <w:num w:numId="23" w16cid:durableId="10573723">
    <w:abstractNumId w:val="3"/>
  </w:num>
  <w:num w:numId="24" w16cid:durableId="1120536963">
    <w:abstractNumId w:val="7"/>
  </w:num>
  <w:num w:numId="25" w16cid:durableId="30686645">
    <w:abstractNumId w:val="21"/>
  </w:num>
  <w:num w:numId="26" w16cid:durableId="1811970395">
    <w:abstractNumId w:val="22"/>
  </w:num>
  <w:num w:numId="27" w16cid:durableId="307707803">
    <w:abstractNumId w:val="0"/>
  </w:num>
  <w:num w:numId="28" w16cid:durableId="1198006128">
    <w:abstractNumId w:val="0"/>
  </w:num>
  <w:num w:numId="29" w16cid:durableId="511458074">
    <w:abstractNumId w:val="0"/>
  </w:num>
  <w:num w:numId="30" w16cid:durableId="112486512">
    <w:abstractNumId w:val="0"/>
  </w:num>
  <w:num w:numId="31" w16cid:durableId="1989237233">
    <w:abstractNumId w:val="0"/>
  </w:num>
  <w:num w:numId="32" w16cid:durableId="475924094">
    <w:abstractNumId w:val="0"/>
  </w:num>
  <w:num w:numId="33" w16cid:durableId="1124690571">
    <w:abstractNumId w:val="0"/>
  </w:num>
  <w:num w:numId="34" w16cid:durableId="66197254">
    <w:abstractNumId w:val="0"/>
  </w:num>
  <w:num w:numId="35" w16cid:durableId="2065594351">
    <w:abstractNumId w:val="0"/>
  </w:num>
  <w:num w:numId="36" w16cid:durableId="28533906">
    <w:abstractNumId w:val="0"/>
  </w:num>
  <w:num w:numId="37" w16cid:durableId="1033648861">
    <w:abstractNumId w:val="0"/>
  </w:num>
  <w:num w:numId="38" w16cid:durableId="1693651428">
    <w:abstractNumId w:val="0"/>
  </w:num>
  <w:num w:numId="39" w16cid:durableId="2044595518">
    <w:abstractNumId w:val="11"/>
  </w:num>
  <w:num w:numId="40" w16cid:durableId="144253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4C"/>
    <w:rsid w:val="000119A7"/>
    <w:rsid w:val="00013012"/>
    <w:rsid w:val="00021FFE"/>
    <w:rsid w:val="00023D8E"/>
    <w:rsid w:val="00026FCB"/>
    <w:rsid w:val="00031470"/>
    <w:rsid w:val="00032DAC"/>
    <w:rsid w:val="00037FC9"/>
    <w:rsid w:val="00040366"/>
    <w:rsid w:val="00040EC1"/>
    <w:rsid w:val="0004298F"/>
    <w:rsid w:val="00043804"/>
    <w:rsid w:val="000576AF"/>
    <w:rsid w:val="00061058"/>
    <w:rsid w:val="000769A7"/>
    <w:rsid w:val="000A1BB9"/>
    <w:rsid w:val="000A3ECF"/>
    <w:rsid w:val="000C7F10"/>
    <w:rsid w:val="000D0AAB"/>
    <w:rsid w:val="000D4297"/>
    <w:rsid w:val="000D6FD4"/>
    <w:rsid w:val="000E0AEA"/>
    <w:rsid w:val="000E6DAD"/>
    <w:rsid w:val="000F0829"/>
    <w:rsid w:val="000F22BD"/>
    <w:rsid w:val="001052BD"/>
    <w:rsid w:val="00114405"/>
    <w:rsid w:val="0011713F"/>
    <w:rsid w:val="00122284"/>
    <w:rsid w:val="00123FAE"/>
    <w:rsid w:val="00130B1A"/>
    <w:rsid w:val="001310E0"/>
    <w:rsid w:val="00140DA7"/>
    <w:rsid w:val="00144456"/>
    <w:rsid w:val="00151622"/>
    <w:rsid w:val="0015169B"/>
    <w:rsid w:val="00151EFE"/>
    <w:rsid w:val="001522C7"/>
    <w:rsid w:val="00154D83"/>
    <w:rsid w:val="00156AF7"/>
    <w:rsid w:val="00166E80"/>
    <w:rsid w:val="00167054"/>
    <w:rsid w:val="00174737"/>
    <w:rsid w:val="001825DA"/>
    <w:rsid w:val="0018363D"/>
    <w:rsid w:val="0019273A"/>
    <w:rsid w:val="00196F43"/>
    <w:rsid w:val="001A03A2"/>
    <w:rsid w:val="001A2968"/>
    <w:rsid w:val="001A717A"/>
    <w:rsid w:val="001B0FB9"/>
    <w:rsid w:val="001C0DE2"/>
    <w:rsid w:val="001C420B"/>
    <w:rsid w:val="001C473F"/>
    <w:rsid w:val="001C563E"/>
    <w:rsid w:val="001C7B86"/>
    <w:rsid w:val="001D01E6"/>
    <w:rsid w:val="001D3DF4"/>
    <w:rsid w:val="001E5EA3"/>
    <w:rsid w:val="001F3055"/>
    <w:rsid w:val="001F3F3C"/>
    <w:rsid w:val="0020219C"/>
    <w:rsid w:val="00211713"/>
    <w:rsid w:val="002120A6"/>
    <w:rsid w:val="0021284E"/>
    <w:rsid w:val="002162F9"/>
    <w:rsid w:val="0021741C"/>
    <w:rsid w:val="00226545"/>
    <w:rsid w:val="002319D0"/>
    <w:rsid w:val="002322F8"/>
    <w:rsid w:val="00233898"/>
    <w:rsid w:val="00235103"/>
    <w:rsid w:val="00236E69"/>
    <w:rsid w:val="002443E5"/>
    <w:rsid w:val="00245DE7"/>
    <w:rsid w:val="00245E12"/>
    <w:rsid w:val="002502E9"/>
    <w:rsid w:val="00252F09"/>
    <w:rsid w:val="0025624E"/>
    <w:rsid w:val="00264F23"/>
    <w:rsid w:val="00272E92"/>
    <w:rsid w:val="00273294"/>
    <w:rsid w:val="002776C5"/>
    <w:rsid w:val="0028721F"/>
    <w:rsid w:val="0029309B"/>
    <w:rsid w:val="00293C04"/>
    <w:rsid w:val="0029438E"/>
    <w:rsid w:val="00294C4A"/>
    <w:rsid w:val="00296BB0"/>
    <w:rsid w:val="002A325C"/>
    <w:rsid w:val="002B3FAC"/>
    <w:rsid w:val="002B44AF"/>
    <w:rsid w:val="002C4D90"/>
    <w:rsid w:val="002D65AE"/>
    <w:rsid w:val="002D6D91"/>
    <w:rsid w:val="002D7882"/>
    <w:rsid w:val="002E0C75"/>
    <w:rsid w:val="00300026"/>
    <w:rsid w:val="00306059"/>
    <w:rsid w:val="003122F1"/>
    <w:rsid w:val="003143A8"/>
    <w:rsid w:val="00316808"/>
    <w:rsid w:val="003172DF"/>
    <w:rsid w:val="003208F1"/>
    <w:rsid w:val="0032488A"/>
    <w:rsid w:val="00325214"/>
    <w:rsid w:val="0032584E"/>
    <w:rsid w:val="00327128"/>
    <w:rsid w:val="00334D0E"/>
    <w:rsid w:val="00335478"/>
    <w:rsid w:val="00335960"/>
    <w:rsid w:val="00336299"/>
    <w:rsid w:val="00365739"/>
    <w:rsid w:val="00383C16"/>
    <w:rsid w:val="003842DF"/>
    <w:rsid w:val="0039219B"/>
    <w:rsid w:val="0039349B"/>
    <w:rsid w:val="00394870"/>
    <w:rsid w:val="003968F3"/>
    <w:rsid w:val="003A53E7"/>
    <w:rsid w:val="003B2109"/>
    <w:rsid w:val="003B3424"/>
    <w:rsid w:val="003C10BB"/>
    <w:rsid w:val="003C609E"/>
    <w:rsid w:val="003C7D97"/>
    <w:rsid w:val="003D0482"/>
    <w:rsid w:val="003D15ED"/>
    <w:rsid w:val="003E0BB4"/>
    <w:rsid w:val="003E2132"/>
    <w:rsid w:val="003E24FF"/>
    <w:rsid w:val="003F6201"/>
    <w:rsid w:val="003F6C37"/>
    <w:rsid w:val="003F7F24"/>
    <w:rsid w:val="004135A4"/>
    <w:rsid w:val="00413983"/>
    <w:rsid w:val="0041604E"/>
    <w:rsid w:val="00425BDC"/>
    <w:rsid w:val="00427E96"/>
    <w:rsid w:val="00433CC8"/>
    <w:rsid w:val="00435A2D"/>
    <w:rsid w:val="004455AE"/>
    <w:rsid w:val="00453F36"/>
    <w:rsid w:val="0045549E"/>
    <w:rsid w:val="00463BE0"/>
    <w:rsid w:val="00465222"/>
    <w:rsid w:val="00466C46"/>
    <w:rsid w:val="00474C57"/>
    <w:rsid w:val="00474E4E"/>
    <w:rsid w:val="004813DF"/>
    <w:rsid w:val="00482AAB"/>
    <w:rsid w:val="00485EF9"/>
    <w:rsid w:val="00487DB1"/>
    <w:rsid w:val="00496C93"/>
    <w:rsid w:val="004A2851"/>
    <w:rsid w:val="004A2D03"/>
    <w:rsid w:val="004A4DA7"/>
    <w:rsid w:val="004B77FD"/>
    <w:rsid w:val="004C0897"/>
    <w:rsid w:val="004C2D2E"/>
    <w:rsid w:val="004C636E"/>
    <w:rsid w:val="004D555D"/>
    <w:rsid w:val="004E001A"/>
    <w:rsid w:val="004E027A"/>
    <w:rsid w:val="004F6AB0"/>
    <w:rsid w:val="004F7278"/>
    <w:rsid w:val="00501EB8"/>
    <w:rsid w:val="00505CE0"/>
    <w:rsid w:val="00506B4B"/>
    <w:rsid w:val="00507CC4"/>
    <w:rsid w:val="005109FF"/>
    <w:rsid w:val="00510DCB"/>
    <w:rsid w:val="00537CFB"/>
    <w:rsid w:val="00546816"/>
    <w:rsid w:val="00554163"/>
    <w:rsid w:val="005568C1"/>
    <w:rsid w:val="00560B98"/>
    <w:rsid w:val="00564A50"/>
    <w:rsid w:val="005651B0"/>
    <w:rsid w:val="00567442"/>
    <w:rsid w:val="00570AE2"/>
    <w:rsid w:val="00574DCE"/>
    <w:rsid w:val="00574EBE"/>
    <w:rsid w:val="0058306D"/>
    <w:rsid w:val="00583DA6"/>
    <w:rsid w:val="005852C4"/>
    <w:rsid w:val="005870CC"/>
    <w:rsid w:val="005A27A3"/>
    <w:rsid w:val="005B0A2D"/>
    <w:rsid w:val="005B128A"/>
    <w:rsid w:val="005B5845"/>
    <w:rsid w:val="005C012A"/>
    <w:rsid w:val="005C0BC2"/>
    <w:rsid w:val="005C195A"/>
    <w:rsid w:val="005C5145"/>
    <w:rsid w:val="005E0AA6"/>
    <w:rsid w:val="005E2E7B"/>
    <w:rsid w:val="005E34E4"/>
    <w:rsid w:val="005E42AC"/>
    <w:rsid w:val="005F1E90"/>
    <w:rsid w:val="005F6AE3"/>
    <w:rsid w:val="005F772C"/>
    <w:rsid w:val="0060003B"/>
    <w:rsid w:val="00600476"/>
    <w:rsid w:val="00600609"/>
    <w:rsid w:val="0060069E"/>
    <w:rsid w:val="00604694"/>
    <w:rsid w:val="00604CDF"/>
    <w:rsid w:val="006057C2"/>
    <w:rsid w:val="00616A93"/>
    <w:rsid w:val="00624988"/>
    <w:rsid w:val="00632196"/>
    <w:rsid w:val="0063737C"/>
    <w:rsid w:val="00637989"/>
    <w:rsid w:val="006432A1"/>
    <w:rsid w:val="00646A26"/>
    <w:rsid w:val="006552F8"/>
    <w:rsid w:val="006634B1"/>
    <w:rsid w:val="00663F5D"/>
    <w:rsid w:val="006650B8"/>
    <w:rsid w:val="00672B4C"/>
    <w:rsid w:val="00676B30"/>
    <w:rsid w:val="00682D00"/>
    <w:rsid w:val="006834CF"/>
    <w:rsid w:val="00691DA8"/>
    <w:rsid w:val="006A6CEA"/>
    <w:rsid w:val="006B3268"/>
    <w:rsid w:val="006B6AFE"/>
    <w:rsid w:val="006C2452"/>
    <w:rsid w:val="006C6EBC"/>
    <w:rsid w:val="006D46B1"/>
    <w:rsid w:val="006D67D1"/>
    <w:rsid w:val="006E3589"/>
    <w:rsid w:val="006E7128"/>
    <w:rsid w:val="006F6B1F"/>
    <w:rsid w:val="007042BB"/>
    <w:rsid w:val="00714735"/>
    <w:rsid w:val="00724478"/>
    <w:rsid w:val="007263A3"/>
    <w:rsid w:val="0073114D"/>
    <w:rsid w:val="007317BA"/>
    <w:rsid w:val="00737E3C"/>
    <w:rsid w:val="007575A9"/>
    <w:rsid w:val="00757D6C"/>
    <w:rsid w:val="007607A0"/>
    <w:rsid w:val="00765377"/>
    <w:rsid w:val="00781F87"/>
    <w:rsid w:val="00782020"/>
    <w:rsid w:val="0078387D"/>
    <w:rsid w:val="00785512"/>
    <w:rsid w:val="00786962"/>
    <w:rsid w:val="007A27EC"/>
    <w:rsid w:val="007B4F38"/>
    <w:rsid w:val="007B79D3"/>
    <w:rsid w:val="007C1CF7"/>
    <w:rsid w:val="007C2B86"/>
    <w:rsid w:val="007D1829"/>
    <w:rsid w:val="007D7CC3"/>
    <w:rsid w:val="007E042D"/>
    <w:rsid w:val="007E1CD0"/>
    <w:rsid w:val="007E5949"/>
    <w:rsid w:val="007F1FF3"/>
    <w:rsid w:val="007F5C40"/>
    <w:rsid w:val="0080083F"/>
    <w:rsid w:val="0080576D"/>
    <w:rsid w:val="00820DBB"/>
    <w:rsid w:val="00823156"/>
    <w:rsid w:val="0082326E"/>
    <w:rsid w:val="00823DF9"/>
    <w:rsid w:val="00824558"/>
    <w:rsid w:val="00824665"/>
    <w:rsid w:val="00830522"/>
    <w:rsid w:val="008412F6"/>
    <w:rsid w:val="008418B7"/>
    <w:rsid w:val="008455EE"/>
    <w:rsid w:val="008552D4"/>
    <w:rsid w:val="008601F7"/>
    <w:rsid w:val="008713E6"/>
    <w:rsid w:val="008724D3"/>
    <w:rsid w:val="0088023F"/>
    <w:rsid w:val="00882B5B"/>
    <w:rsid w:val="0088329B"/>
    <w:rsid w:val="00884336"/>
    <w:rsid w:val="00892568"/>
    <w:rsid w:val="00892C99"/>
    <w:rsid w:val="0089574C"/>
    <w:rsid w:val="008A4F88"/>
    <w:rsid w:val="008A5EAD"/>
    <w:rsid w:val="008B3B0C"/>
    <w:rsid w:val="008B4D5F"/>
    <w:rsid w:val="008B4E70"/>
    <w:rsid w:val="008B5579"/>
    <w:rsid w:val="008C07CF"/>
    <w:rsid w:val="008E595B"/>
    <w:rsid w:val="008F0172"/>
    <w:rsid w:val="008F425B"/>
    <w:rsid w:val="008F5065"/>
    <w:rsid w:val="008F5BE5"/>
    <w:rsid w:val="00910BC1"/>
    <w:rsid w:val="0091345F"/>
    <w:rsid w:val="009136D0"/>
    <w:rsid w:val="0091424B"/>
    <w:rsid w:val="0091451F"/>
    <w:rsid w:val="00915984"/>
    <w:rsid w:val="00930F01"/>
    <w:rsid w:val="009330A6"/>
    <w:rsid w:val="00940CF4"/>
    <w:rsid w:val="009455CA"/>
    <w:rsid w:val="009457DA"/>
    <w:rsid w:val="009663EC"/>
    <w:rsid w:val="009711AE"/>
    <w:rsid w:val="00981C1E"/>
    <w:rsid w:val="00983C05"/>
    <w:rsid w:val="009875E9"/>
    <w:rsid w:val="00990B82"/>
    <w:rsid w:val="00993E12"/>
    <w:rsid w:val="0099511C"/>
    <w:rsid w:val="009A54D8"/>
    <w:rsid w:val="009A7099"/>
    <w:rsid w:val="009B0186"/>
    <w:rsid w:val="009B0DD1"/>
    <w:rsid w:val="009C04EB"/>
    <w:rsid w:val="009C4FDD"/>
    <w:rsid w:val="009C6E6E"/>
    <w:rsid w:val="009D747D"/>
    <w:rsid w:val="009D7EC7"/>
    <w:rsid w:val="009E10CE"/>
    <w:rsid w:val="009E42F7"/>
    <w:rsid w:val="009F3216"/>
    <w:rsid w:val="00A117E8"/>
    <w:rsid w:val="00A1401C"/>
    <w:rsid w:val="00A145F1"/>
    <w:rsid w:val="00A2475A"/>
    <w:rsid w:val="00A2568A"/>
    <w:rsid w:val="00A30A1D"/>
    <w:rsid w:val="00A364C2"/>
    <w:rsid w:val="00A4352C"/>
    <w:rsid w:val="00A44FBE"/>
    <w:rsid w:val="00A458D1"/>
    <w:rsid w:val="00A45D3A"/>
    <w:rsid w:val="00A505F3"/>
    <w:rsid w:val="00A50D58"/>
    <w:rsid w:val="00A52273"/>
    <w:rsid w:val="00A61F4A"/>
    <w:rsid w:val="00A6344A"/>
    <w:rsid w:val="00A6578C"/>
    <w:rsid w:val="00A65CD1"/>
    <w:rsid w:val="00A80033"/>
    <w:rsid w:val="00A82D5A"/>
    <w:rsid w:val="00A836CC"/>
    <w:rsid w:val="00A902AC"/>
    <w:rsid w:val="00A915E5"/>
    <w:rsid w:val="00A964DB"/>
    <w:rsid w:val="00AA0272"/>
    <w:rsid w:val="00AA3526"/>
    <w:rsid w:val="00AA3E06"/>
    <w:rsid w:val="00AB2447"/>
    <w:rsid w:val="00AB5ED7"/>
    <w:rsid w:val="00AB62BC"/>
    <w:rsid w:val="00AC38CE"/>
    <w:rsid w:val="00AC5725"/>
    <w:rsid w:val="00AD1A02"/>
    <w:rsid w:val="00AE3369"/>
    <w:rsid w:val="00B10411"/>
    <w:rsid w:val="00B11C2D"/>
    <w:rsid w:val="00B13225"/>
    <w:rsid w:val="00B17277"/>
    <w:rsid w:val="00B172C4"/>
    <w:rsid w:val="00B17821"/>
    <w:rsid w:val="00B31872"/>
    <w:rsid w:val="00B3243E"/>
    <w:rsid w:val="00B35A31"/>
    <w:rsid w:val="00B35FC7"/>
    <w:rsid w:val="00B37506"/>
    <w:rsid w:val="00B43308"/>
    <w:rsid w:val="00B568B4"/>
    <w:rsid w:val="00B56DDF"/>
    <w:rsid w:val="00B62E2E"/>
    <w:rsid w:val="00B649E5"/>
    <w:rsid w:val="00B67F61"/>
    <w:rsid w:val="00B75E00"/>
    <w:rsid w:val="00B773D0"/>
    <w:rsid w:val="00B77625"/>
    <w:rsid w:val="00B8549B"/>
    <w:rsid w:val="00B90165"/>
    <w:rsid w:val="00BA3161"/>
    <w:rsid w:val="00BA5AA9"/>
    <w:rsid w:val="00BB38D6"/>
    <w:rsid w:val="00BC0722"/>
    <w:rsid w:val="00BC1028"/>
    <w:rsid w:val="00BE4ADD"/>
    <w:rsid w:val="00BF0F70"/>
    <w:rsid w:val="00BF2630"/>
    <w:rsid w:val="00BF7F57"/>
    <w:rsid w:val="00C0099C"/>
    <w:rsid w:val="00C0100B"/>
    <w:rsid w:val="00C074E8"/>
    <w:rsid w:val="00C135F5"/>
    <w:rsid w:val="00C1388E"/>
    <w:rsid w:val="00C16073"/>
    <w:rsid w:val="00C209F5"/>
    <w:rsid w:val="00C3363E"/>
    <w:rsid w:val="00C36454"/>
    <w:rsid w:val="00C54BA5"/>
    <w:rsid w:val="00C55A74"/>
    <w:rsid w:val="00C568C4"/>
    <w:rsid w:val="00C67F26"/>
    <w:rsid w:val="00C71C6C"/>
    <w:rsid w:val="00C805A1"/>
    <w:rsid w:val="00C85CA9"/>
    <w:rsid w:val="00C86F4D"/>
    <w:rsid w:val="00C87205"/>
    <w:rsid w:val="00C90061"/>
    <w:rsid w:val="00C91B87"/>
    <w:rsid w:val="00C94227"/>
    <w:rsid w:val="00C97804"/>
    <w:rsid w:val="00CB1F85"/>
    <w:rsid w:val="00CC28E9"/>
    <w:rsid w:val="00CD3341"/>
    <w:rsid w:val="00CE1DD0"/>
    <w:rsid w:val="00CF4A2E"/>
    <w:rsid w:val="00CF5B11"/>
    <w:rsid w:val="00CF685B"/>
    <w:rsid w:val="00D006DF"/>
    <w:rsid w:val="00D01CC0"/>
    <w:rsid w:val="00D130CF"/>
    <w:rsid w:val="00D14AA8"/>
    <w:rsid w:val="00D25BFE"/>
    <w:rsid w:val="00D27928"/>
    <w:rsid w:val="00D32D44"/>
    <w:rsid w:val="00D33279"/>
    <w:rsid w:val="00D53A9D"/>
    <w:rsid w:val="00D57E09"/>
    <w:rsid w:val="00D638A9"/>
    <w:rsid w:val="00D63A2A"/>
    <w:rsid w:val="00D63D0B"/>
    <w:rsid w:val="00D701E1"/>
    <w:rsid w:val="00D71560"/>
    <w:rsid w:val="00D71C36"/>
    <w:rsid w:val="00D734DB"/>
    <w:rsid w:val="00D81833"/>
    <w:rsid w:val="00D81B9E"/>
    <w:rsid w:val="00D82587"/>
    <w:rsid w:val="00D8260B"/>
    <w:rsid w:val="00D91ADF"/>
    <w:rsid w:val="00D92A3C"/>
    <w:rsid w:val="00D9400D"/>
    <w:rsid w:val="00DA03E2"/>
    <w:rsid w:val="00DA2797"/>
    <w:rsid w:val="00DA6767"/>
    <w:rsid w:val="00DB0306"/>
    <w:rsid w:val="00DB0462"/>
    <w:rsid w:val="00DB3659"/>
    <w:rsid w:val="00DB690A"/>
    <w:rsid w:val="00DC2FF2"/>
    <w:rsid w:val="00DC4ABD"/>
    <w:rsid w:val="00DC61F7"/>
    <w:rsid w:val="00DF1747"/>
    <w:rsid w:val="00E05B15"/>
    <w:rsid w:val="00E125A2"/>
    <w:rsid w:val="00E146AA"/>
    <w:rsid w:val="00E2096B"/>
    <w:rsid w:val="00E34672"/>
    <w:rsid w:val="00E51C5F"/>
    <w:rsid w:val="00E60CB1"/>
    <w:rsid w:val="00E706E6"/>
    <w:rsid w:val="00E70A05"/>
    <w:rsid w:val="00E70AE1"/>
    <w:rsid w:val="00E729F1"/>
    <w:rsid w:val="00E77FCD"/>
    <w:rsid w:val="00E83D94"/>
    <w:rsid w:val="00E84A3A"/>
    <w:rsid w:val="00E92551"/>
    <w:rsid w:val="00E92F05"/>
    <w:rsid w:val="00E940DA"/>
    <w:rsid w:val="00E9438C"/>
    <w:rsid w:val="00E95AF2"/>
    <w:rsid w:val="00EA62F2"/>
    <w:rsid w:val="00EB0A29"/>
    <w:rsid w:val="00EB0BF8"/>
    <w:rsid w:val="00EB4448"/>
    <w:rsid w:val="00EC63B9"/>
    <w:rsid w:val="00ED072E"/>
    <w:rsid w:val="00EE18AD"/>
    <w:rsid w:val="00EE4AC6"/>
    <w:rsid w:val="00EE7DFA"/>
    <w:rsid w:val="00EF06DA"/>
    <w:rsid w:val="00EF464F"/>
    <w:rsid w:val="00F0387F"/>
    <w:rsid w:val="00F04185"/>
    <w:rsid w:val="00F04363"/>
    <w:rsid w:val="00F05CF5"/>
    <w:rsid w:val="00F11B67"/>
    <w:rsid w:val="00F25E4C"/>
    <w:rsid w:val="00F318F3"/>
    <w:rsid w:val="00F34F6B"/>
    <w:rsid w:val="00F40A1E"/>
    <w:rsid w:val="00F46B8B"/>
    <w:rsid w:val="00F53C92"/>
    <w:rsid w:val="00F614E3"/>
    <w:rsid w:val="00F62935"/>
    <w:rsid w:val="00F663DD"/>
    <w:rsid w:val="00F72103"/>
    <w:rsid w:val="00F73280"/>
    <w:rsid w:val="00F83641"/>
    <w:rsid w:val="00F86311"/>
    <w:rsid w:val="00F94B7F"/>
    <w:rsid w:val="00FA3AB1"/>
    <w:rsid w:val="00FB1B96"/>
    <w:rsid w:val="00FB7555"/>
    <w:rsid w:val="00FC46E1"/>
    <w:rsid w:val="00FC5E28"/>
    <w:rsid w:val="00FD15E0"/>
    <w:rsid w:val="00FD31C3"/>
    <w:rsid w:val="00FE0C2F"/>
    <w:rsid w:val="00FE11D0"/>
    <w:rsid w:val="00FE1866"/>
    <w:rsid w:val="00FE3B47"/>
    <w:rsid w:val="00FF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A427"/>
  <w15:docId w15:val="{4C2676B7-528F-489E-A649-0E5F426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820"/>
      <w:jc w:val="both"/>
    </w:pPr>
    <w:rPr>
      <w:sz w:val="24"/>
      <w:szCs w:val="24"/>
    </w:rPr>
  </w:style>
  <w:style w:type="paragraph" w:styleId="ListParagraph">
    <w:name w:val="List Paragraph"/>
    <w:basedOn w:val="Normal"/>
    <w:uiPriority w:val="1"/>
    <w:qFormat/>
    <w:pPr>
      <w:spacing w:before="60"/>
      <w:ind w:left="820" w:right="28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4185"/>
    <w:pPr>
      <w:tabs>
        <w:tab w:val="center" w:pos="4680"/>
        <w:tab w:val="right" w:pos="9360"/>
      </w:tabs>
    </w:pPr>
  </w:style>
  <w:style w:type="character" w:customStyle="1" w:styleId="HeaderChar">
    <w:name w:val="Header Char"/>
    <w:basedOn w:val="DefaultParagraphFont"/>
    <w:link w:val="Header"/>
    <w:uiPriority w:val="99"/>
    <w:rsid w:val="00F04185"/>
    <w:rPr>
      <w:rFonts w:ascii="Times New Roman" w:eastAsia="Times New Roman" w:hAnsi="Times New Roman" w:cs="Times New Roman"/>
    </w:rPr>
  </w:style>
  <w:style w:type="paragraph" w:styleId="Footer">
    <w:name w:val="footer"/>
    <w:basedOn w:val="Normal"/>
    <w:link w:val="FooterChar"/>
    <w:uiPriority w:val="99"/>
    <w:unhideWhenUsed/>
    <w:rsid w:val="00F04185"/>
    <w:pPr>
      <w:tabs>
        <w:tab w:val="center" w:pos="4680"/>
        <w:tab w:val="right" w:pos="9360"/>
      </w:tabs>
    </w:pPr>
  </w:style>
  <w:style w:type="character" w:customStyle="1" w:styleId="FooterChar">
    <w:name w:val="Footer Char"/>
    <w:basedOn w:val="DefaultParagraphFont"/>
    <w:link w:val="Footer"/>
    <w:uiPriority w:val="99"/>
    <w:rsid w:val="00F04185"/>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73114D"/>
    <w:rPr>
      <w:sz w:val="20"/>
      <w:szCs w:val="20"/>
    </w:rPr>
  </w:style>
  <w:style w:type="character" w:customStyle="1" w:styleId="EndnoteTextChar">
    <w:name w:val="Endnote Text Char"/>
    <w:basedOn w:val="DefaultParagraphFont"/>
    <w:link w:val="EndnoteText"/>
    <w:uiPriority w:val="99"/>
    <w:semiHidden/>
    <w:rsid w:val="007311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3114D"/>
    <w:rPr>
      <w:vertAlign w:val="superscript"/>
    </w:rPr>
  </w:style>
  <w:style w:type="paragraph" w:styleId="FootnoteText">
    <w:name w:val="footnote text"/>
    <w:basedOn w:val="Normal"/>
    <w:link w:val="FootnoteTextChar"/>
    <w:uiPriority w:val="99"/>
    <w:semiHidden/>
    <w:unhideWhenUsed/>
    <w:rsid w:val="0073114D"/>
    <w:rPr>
      <w:sz w:val="20"/>
      <w:szCs w:val="20"/>
    </w:rPr>
  </w:style>
  <w:style w:type="character" w:customStyle="1" w:styleId="FootnoteTextChar">
    <w:name w:val="Footnote Text Char"/>
    <w:basedOn w:val="DefaultParagraphFont"/>
    <w:link w:val="FootnoteText"/>
    <w:uiPriority w:val="99"/>
    <w:semiHidden/>
    <w:rsid w:val="007311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114D"/>
    <w:rPr>
      <w:vertAlign w:val="superscript"/>
    </w:rPr>
  </w:style>
  <w:style w:type="paragraph" w:styleId="Revision">
    <w:name w:val="Revision"/>
    <w:hidden/>
    <w:uiPriority w:val="99"/>
    <w:semiHidden/>
    <w:rsid w:val="00C1607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2E2E"/>
    <w:rPr>
      <w:sz w:val="16"/>
      <w:szCs w:val="16"/>
    </w:rPr>
  </w:style>
  <w:style w:type="paragraph" w:styleId="CommentText">
    <w:name w:val="annotation text"/>
    <w:basedOn w:val="Normal"/>
    <w:link w:val="CommentTextChar"/>
    <w:uiPriority w:val="99"/>
    <w:unhideWhenUsed/>
    <w:rsid w:val="00B62E2E"/>
    <w:rPr>
      <w:sz w:val="20"/>
      <w:szCs w:val="20"/>
    </w:rPr>
  </w:style>
  <w:style w:type="character" w:customStyle="1" w:styleId="CommentTextChar">
    <w:name w:val="Comment Text Char"/>
    <w:basedOn w:val="DefaultParagraphFont"/>
    <w:link w:val="CommentText"/>
    <w:uiPriority w:val="99"/>
    <w:rsid w:val="00B62E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2E2E"/>
    <w:rPr>
      <w:b/>
      <w:bCs/>
    </w:rPr>
  </w:style>
  <w:style w:type="character" w:customStyle="1" w:styleId="CommentSubjectChar">
    <w:name w:val="Comment Subject Char"/>
    <w:basedOn w:val="CommentTextChar"/>
    <w:link w:val="CommentSubject"/>
    <w:uiPriority w:val="99"/>
    <w:semiHidden/>
    <w:rsid w:val="00B62E2E"/>
    <w:rPr>
      <w:rFonts w:ascii="Times New Roman" w:eastAsia="Times New Roman" w:hAnsi="Times New Roman" w:cs="Times New Roman"/>
      <w:b/>
      <w:bCs/>
      <w:sz w:val="20"/>
      <w:szCs w:val="20"/>
    </w:rPr>
  </w:style>
  <w:style w:type="character" w:styleId="PageNumber">
    <w:name w:val="page number"/>
    <w:rsid w:val="00AA3E06"/>
    <w:rPr>
      <w:rFonts w:ascii="Arial" w:hAnsi="Arial"/>
      <w:b/>
      <w:sz w:val="18"/>
    </w:rPr>
  </w:style>
  <w:style w:type="table" w:styleId="TableGrid">
    <w:name w:val="Table Grid"/>
    <w:basedOn w:val="TableNormal"/>
    <w:rsid w:val="00AA3E0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BodyText"/>
    <w:rsid w:val="00910BC1"/>
    <w:pPr>
      <w:keepNext/>
      <w:widowControl/>
      <w:numPr>
        <w:numId w:val="16"/>
      </w:numPr>
      <w:tabs>
        <w:tab w:val="clear" w:pos="4860"/>
        <w:tab w:val="num" w:pos="720"/>
      </w:tabs>
      <w:autoSpaceDE/>
      <w:autoSpaceDN/>
      <w:spacing w:after="240"/>
      <w:ind w:left="0"/>
      <w:jc w:val="center"/>
      <w:outlineLvl w:val="0"/>
    </w:pPr>
    <w:rPr>
      <w:b/>
      <w:caps/>
      <w:sz w:val="24"/>
      <w:szCs w:val="24"/>
    </w:rPr>
  </w:style>
  <w:style w:type="paragraph" w:customStyle="1" w:styleId="ArticleL2">
    <w:name w:val="Article_L2"/>
    <w:basedOn w:val="ArticleL1"/>
    <w:next w:val="BodyText"/>
    <w:rsid w:val="00910BC1"/>
    <w:pPr>
      <w:keepNext w:val="0"/>
      <w:numPr>
        <w:ilvl w:val="1"/>
      </w:numPr>
      <w:jc w:val="left"/>
      <w:outlineLvl w:val="1"/>
    </w:pPr>
    <w:rPr>
      <w:rFonts w:cs="Arial"/>
      <w:b w:val="0"/>
      <w:caps w:val="0"/>
    </w:rPr>
  </w:style>
  <w:style w:type="paragraph" w:customStyle="1" w:styleId="ArticleL3">
    <w:name w:val="Article_L3"/>
    <w:basedOn w:val="ArticleL2"/>
    <w:next w:val="BodyText"/>
    <w:rsid w:val="00910BC1"/>
    <w:pPr>
      <w:numPr>
        <w:ilvl w:val="2"/>
      </w:numPr>
      <w:outlineLvl w:val="2"/>
    </w:pPr>
  </w:style>
  <w:style w:type="paragraph" w:customStyle="1" w:styleId="ArticleL4">
    <w:name w:val="Article_L4"/>
    <w:basedOn w:val="ArticleL3"/>
    <w:next w:val="BodyText"/>
    <w:rsid w:val="00910BC1"/>
    <w:pPr>
      <w:numPr>
        <w:ilvl w:val="3"/>
      </w:numPr>
      <w:outlineLvl w:val="3"/>
    </w:pPr>
  </w:style>
  <w:style w:type="paragraph" w:customStyle="1" w:styleId="ArticleL5">
    <w:name w:val="Article_L5"/>
    <w:basedOn w:val="ArticleL4"/>
    <w:next w:val="BodyText"/>
    <w:rsid w:val="00910BC1"/>
    <w:pPr>
      <w:numPr>
        <w:ilvl w:val="4"/>
      </w:numPr>
      <w:outlineLvl w:val="4"/>
    </w:pPr>
    <w:rPr>
      <w:sz w:val="20"/>
    </w:rPr>
  </w:style>
  <w:style w:type="paragraph" w:customStyle="1" w:styleId="ArticleL6">
    <w:name w:val="Article_L6"/>
    <w:basedOn w:val="ArticleL5"/>
    <w:next w:val="BodyText"/>
    <w:rsid w:val="00910BC1"/>
    <w:pPr>
      <w:numPr>
        <w:ilvl w:val="5"/>
      </w:numPr>
      <w:outlineLvl w:val="5"/>
    </w:pPr>
  </w:style>
  <w:style w:type="paragraph" w:customStyle="1" w:styleId="ArticleL7">
    <w:name w:val="Article_L7"/>
    <w:basedOn w:val="ArticleL6"/>
    <w:next w:val="BodyText"/>
    <w:rsid w:val="00910BC1"/>
    <w:pPr>
      <w:numPr>
        <w:ilvl w:val="6"/>
      </w:numPr>
      <w:outlineLvl w:val="6"/>
    </w:pPr>
  </w:style>
  <w:style w:type="paragraph" w:customStyle="1" w:styleId="ArticleL8">
    <w:name w:val="Article_L8"/>
    <w:basedOn w:val="ArticleL7"/>
    <w:next w:val="BodyText"/>
    <w:rsid w:val="00910BC1"/>
    <w:pPr>
      <w:numPr>
        <w:ilvl w:val="7"/>
      </w:numPr>
      <w:outlineLvl w:val="7"/>
    </w:pPr>
  </w:style>
  <w:style w:type="paragraph" w:customStyle="1" w:styleId="ArticleL9">
    <w:name w:val="Article_L9"/>
    <w:basedOn w:val="ArticleL8"/>
    <w:next w:val="BodyText"/>
    <w:rsid w:val="00910BC1"/>
    <w:pPr>
      <w:numPr>
        <w:ilvl w:val="8"/>
      </w:numPr>
      <w:outlineLvl w:val="8"/>
    </w:pPr>
  </w:style>
  <w:style w:type="paragraph" w:styleId="Signature">
    <w:name w:val="Signature"/>
    <w:basedOn w:val="Normal"/>
    <w:link w:val="SignatureChar"/>
    <w:uiPriority w:val="29"/>
    <w:qFormat/>
    <w:rsid w:val="007E5949"/>
    <w:pPr>
      <w:widowControl/>
      <w:tabs>
        <w:tab w:val="right" w:pos="9360"/>
      </w:tabs>
      <w:suppressAutoHyphens/>
      <w:autoSpaceDE/>
      <w:autoSpaceDN/>
      <w:spacing w:after="480"/>
      <w:ind w:left="4680"/>
    </w:pPr>
    <w:rPr>
      <w:rFonts w:eastAsiaTheme="minorHAnsi"/>
      <w:sz w:val="24"/>
      <w:szCs w:val="24"/>
    </w:rPr>
  </w:style>
  <w:style w:type="character" w:customStyle="1" w:styleId="SignatureChar">
    <w:name w:val="Signature Char"/>
    <w:basedOn w:val="DefaultParagraphFont"/>
    <w:link w:val="Signature"/>
    <w:uiPriority w:val="29"/>
    <w:rsid w:val="007E5949"/>
    <w:rPr>
      <w:rFonts w:ascii="Times New Roman" w:hAnsi="Times New Roman" w:cs="Times New Roman"/>
      <w:sz w:val="24"/>
      <w:szCs w:val="24"/>
    </w:rPr>
  </w:style>
  <w:style w:type="paragraph" w:customStyle="1" w:styleId="Bulletoutlinedc1">
    <w:name w:val="Bullet_outlinedc_1"/>
    <w:basedOn w:val="Normal"/>
    <w:rsid w:val="007E5949"/>
    <w:pPr>
      <w:widowControl/>
      <w:numPr>
        <w:numId w:val="39"/>
      </w:numPr>
      <w:suppressAutoHyphens/>
      <w:autoSpaceDE/>
      <w:autoSpaceDN/>
      <w:contextualSpacing/>
      <w:outlineLvl w:val="0"/>
    </w:pPr>
    <w:rPr>
      <w:rFonts w:eastAsiaTheme="minorHAnsi"/>
      <w:sz w:val="24"/>
      <w:szCs w:val="24"/>
    </w:rPr>
  </w:style>
  <w:style w:type="paragraph" w:customStyle="1" w:styleId="Bulletoutlinedc2">
    <w:name w:val="Bullet_outlinedc_2"/>
    <w:basedOn w:val="Normal"/>
    <w:rsid w:val="007E5949"/>
    <w:pPr>
      <w:widowControl/>
      <w:numPr>
        <w:ilvl w:val="1"/>
        <w:numId w:val="39"/>
      </w:numPr>
      <w:suppressAutoHyphens/>
      <w:autoSpaceDE/>
      <w:autoSpaceDN/>
      <w:contextualSpacing/>
      <w:outlineLvl w:val="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1D0D141A99749A23DDFE9B3F85A23" ma:contentTypeVersion="4" ma:contentTypeDescription="Create a new document." ma:contentTypeScope="" ma:versionID="6d74584544c1877fd9192b40213ab88a">
  <xsd:schema xmlns:xsd="http://www.w3.org/2001/XMLSchema" xmlns:xs="http://www.w3.org/2001/XMLSchema" xmlns:p="http://schemas.microsoft.com/office/2006/metadata/properties" xmlns:ns2="7ae440e0-8caf-4840-b2d3-9c5b73d40d01" targetNamespace="http://schemas.microsoft.com/office/2006/metadata/properties" ma:root="true" ma:fieldsID="99ff0cca110ebda28dc8933d4994a18b" ns2:_="">
    <xsd:import namespace="7ae440e0-8caf-4840-b2d3-9c5b73d40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40e0-8caf-4840-b2d3-9c5b73d40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CEEAD-BDD5-4D3A-9499-575877752532}">
  <ds:schemaRefs>
    <ds:schemaRef ds:uri="http://schemas.microsoft.com/sharepoint/v3/contenttype/forms"/>
  </ds:schemaRefs>
</ds:datastoreItem>
</file>

<file path=customXml/itemProps2.xml><?xml version="1.0" encoding="utf-8"?>
<ds:datastoreItem xmlns:ds="http://schemas.openxmlformats.org/officeDocument/2006/customXml" ds:itemID="{F871AFAD-31FD-4683-B849-65E30DA8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40e0-8caf-4840-b2d3-9c5b73d40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D345D-D1B5-4FA7-8D65-1E2452397C7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4a73020-f34f-4283-9d4b-71b2eaca44c6}" enabled="1" method="Privileged" siteId="{c14859fd-9ee0-4988-adb5-155bee834433}"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4531</Words>
  <Characters>25827</Characters>
  <Application>Microsoft Office Word</Application>
  <DocSecurity>0</DocSecurity>
  <Lines>215</Lines>
  <Paragraphs>60</Paragraphs>
  <ScaleCrop>false</ScaleCrop>
  <Company>ALLETE, Inc</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Garton (MP)</cp:lastModifiedBy>
  <cp:revision>7</cp:revision>
  <cp:lastPrinted>1900-01-01T07:00:00Z</cp:lastPrinted>
  <dcterms:created xsi:type="dcterms:W3CDTF">1900-01-01T07:00:00Z</dcterms:created>
  <dcterms:modified xsi:type="dcterms:W3CDTF">2025-01-24T14:45:00Z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0x0101001C91D0D141A99749A23DDFE9B3F85A23</vt:lpwstr>
  </property>
</Properties>
</file>